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7"/>
        <w:ind w:left="1483" w:right="1628" w:firstLine="0"/>
        <w:jc w:val="center"/>
        <w:rPr>
          <w:rFonts w:ascii="Tahoma"/>
          <w:b/>
          <w:sz w:val="28"/>
        </w:rPr>
      </w:pPr>
      <w:bookmarkStart w:name="_bookmark1" w:id="1"/>
      <w:bookmarkEnd w:id="1"/>
      <w:r>
        <w:rPr/>
      </w:r>
      <w:bookmarkStart w:name="_bookmark0" w:id="2"/>
      <w:bookmarkEnd w:id="2"/>
      <w:r>
        <w:rPr/>
      </w:r>
      <w:r>
        <w:rPr>
          <w:rFonts w:ascii="Tahoma"/>
          <w:b/>
          <w:color w:val="242424"/>
          <w:w w:val="90"/>
          <w:sz w:val="28"/>
        </w:rPr>
        <w:t>LAPORAN</w:t>
      </w:r>
      <w:r>
        <w:rPr>
          <w:rFonts w:ascii="Tahoma"/>
          <w:b/>
          <w:color w:val="242424"/>
          <w:spacing w:val="63"/>
          <w:sz w:val="28"/>
        </w:rPr>
        <w:t> </w:t>
      </w:r>
      <w:r>
        <w:rPr>
          <w:rFonts w:ascii="Tahoma"/>
          <w:b/>
          <w:color w:val="242424"/>
          <w:spacing w:val="-2"/>
          <w:w w:val="95"/>
          <w:sz w:val="28"/>
        </w:rPr>
        <w:t>PENELITIAN</w:t>
      </w:r>
    </w:p>
    <w:p>
      <w:pPr>
        <w:pStyle w:val="BodyText"/>
        <w:jc w:val="left"/>
        <w:rPr>
          <w:rFonts w:ascii="Tahoma"/>
          <w:b/>
          <w:sz w:val="28"/>
        </w:rPr>
      </w:pPr>
    </w:p>
    <w:p>
      <w:pPr>
        <w:pStyle w:val="BodyText"/>
        <w:jc w:val="left"/>
        <w:rPr>
          <w:rFonts w:ascii="Tahoma"/>
          <w:b/>
          <w:sz w:val="28"/>
        </w:rPr>
      </w:pPr>
    </w:p>
    <w:p>
      <w:pPr>
        <w:pStyle w:val="BodyText"/>
        <w:spacing w:before="146"/>
        <w:jc w:val="left"/>
        <w:rPr>
          <w:rFonts w:ascii="Tahoma"/>
          <w:b/>
          <w:sz w:val="28"/>
        </w:rPr>
      </w:pPr>
    </w:p>
    <w:p>
      <w:pPr>
        <w:pStyle w:val="Heading1"/>
        <w:spacing w:line="345" w:lineRule="auto" w:before="0"/>
        <w:ind w:left="849" w:right="993" w:hanging="10"/>
      </w:pPr>
      <w:r>
        <w:rPr>
          <w:spacing w:val="-4"/>
        </w:rPr>
        <w:t>DAMPAK</w:t>
      </w:r>
      <w:r>
        <w:rPr>
          <w:spacing w:val="-17"/>
        </w:rPr>
        <w:t> </w:t>
      </w:r>
      <w:r>
        <w:rPr>
          <w:spacing w:val="-4"/>
        </w:rPr>
        <w:t>KEBERADAAN</w:t>
      </w:r>
      <w:r>
        <w:rPr>
          <w:spacing w:val="-17"/>
        </w:rPr>
        <w:t> </w:t>
      </w:r>
      <w:r>
        <w:rPr>
          <w:spacing w:val="-4"/>
        </w:rPr>
        <w:t>IBU</w:t>
      </w:r>
      <w:r>
        <w:rPr>
          <w:spacing w:val="-16"/>
        </w:rPr>
        <w:t> </w:t>
      </w:r>
      <w:r>
        <w:rPr>
          <w:spacing w:val="-4"/>
        </w:rPr>
        <w:t>KOTA</w:t>
      </w:r>
      <w:r>
        <w:rPr>
          <w:spacing w:val="-17"/>
        </w:rPr>
        <w:t> </w:t>
      </w:r>
      <w:r>
        <w:rPr>
          <w:spacing w:val="-4"/>
        </w:rPr>
        <w:t>NUSANTARA </w:t>
      </w:r>
      <w:r>
        <w:rPr>
          <w:w w:val="90"/>
        </w:rPr>
        <w:t>TERHADAP POTENSI PENERIMAAN</w:t>
      </w:r>
      <w:r>
        <w:rPr/>
        <w:t> </w:t>
      </w:r>
      <w:r>
        <w:rPr>
          <w:w w:val="90"/>
        </w:rPr>
        <w:t>DAN PENGELUARAN</w:t>
      </w:r>
      <w:r>
        <w:rPr>
          <w:spacing w:val="80"/>
        </w:rPr>
        <w:t> </w:t>
      </w:r>
      <w:r>
        <w:rPr>
          <w:spacing w:val="-6"/>
        </w:rPr>
        <w:t>DAERAH</w:t>
      </w:r>
      <w:r>
        <w:rPr>
          <w:spacing w:val="-8"/>
        </w:rPr>
        <w:t> </w:t>
      </w:r>
      <w:r>
        <w:rPr>
          <w:spacing w:val="-6"/>
        </w:rPr>
        <w:t>KABUPATEN</w:t>
      </w:r>
      <w:r>
        <w:rPr>
          <w:spacing w:val="-9"/>
        </w:rPr>
        <w:t> </w:t>
      </w:r>
      <w:r>
        <w:rPr>
          <w:spacing w:val="-6"/>
        </w:rPr>
        <w:t>KUTAI</w:t>
      </w:r>
      <w:r>
        <w:rPr>
          <w:spacing w:val="-8"/>
        </w:rPr>
        <w:t> </w:t>
      </w:r>
      <w:r>
        <w:rPr>
          <w:spacing w:val="-6"/>
        </w:rPr>
        <w:t>KARTANEGARA</w:t>
      </w:r>
    </w:p>
    <w:p>
      <w:pPr>
        <w:pStyle w:val="BodyText"/>
        <w:jc w:val="left"/>
        <w:rPr>
          <w:rFonts w:ascii="Tahoma"/>
          <w:b/>
          <w:sz w:val="20"/>
        </w:rPr>
      </w:pPr>
    </w:p>
    <w:p>
      <w:pPr>
        <w:pStyle w:val="BodyText"/>
        <w:spacing w:before="103"/>
        <w:jc w:val="left"/>
        <w:rPr>
          <w:rFonts w:ascii="Tahoma"/>
          <w:b/>
          <w:sz w:val="20"/>
        </w:rPr>
      </w:pPr>
      <w:r>
        <w:rPr>
          <w:rFonts w:ascii="Tahoma"/>
          <w:b/>
          <w:sz w:val="20"/>
        </w:rPr>
        <w:drawing>
          <wp:anchor distT="0" distB="0" distL="0" distR="0" allowOverlap="1" layoutInCell="1" locked="0" behindDoc="1" simplePos="0" relativeHeight="487587840">
            <wp:simplePos x="0" y="0"/>
            <wp:positionH relativeFrom="page">
              <wp:posOffset>2954020</wp:posOffset>
            </wp:positionH>
            <wp:positionV relativeFrom="paragraph">
              <wp:posOffset>234374</wp:posOffset>
            </wp:positionV>
            <wp:extent cx="2037917" cy="2657475"/>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037917" cy="2657475"/>
                    </a:xfrm>
                    <a:prstGeom prst="rect">
                      <a:avLst/>
                    </a:prstGeom>
                  </pic:spPr>
                </pic:pic>
              </a:graphicData>
            </a:graphic>
          </wp:anchor>
        </w:drawing>
      </w:r>
    </w:p>
    <w:p>
      <w:pPr>
        <w:pStyle w:val="BodyText"/>
        <w:jc w:val="left"/>
        <w:rPr>
          <w:rFonts w:ascii="Tahoma"/>
          <w:b/>
          <w:sz w:val="28"/>
        </w:rPr>
      </w:pPr>
    </w:p>
    <w:p>
      <w:pPr>
        <w:pStyle w:val="BodyText"/>
        <w:jc w:val="left"/>
        <w:rPr>
          <w:rFonts w:ascii="Tahoma"/>
          <w:b/>
          <w:sz w:val="28"/>
        </w:rPr>
      </w:pPr>
    </w:p>
    <w:p>
      <w:pPr>
        <w:pStyle w:val="BodyText"/>
        <w:spacing w:before="169"/>
        <w:jc w:val="left"/>
        <w:rPr>
          <w:rFonts w:ascii="Tahoma"/>
          <w:b/>
          <w:sz w:val="28"/>
        </w:rPr>
      </w:pPr>
    </w:p>
    <w:p>
      <w:pPr>
        <w:spacing w:before="1"/>
        <w:ind w:left="0" w:right="80" w:firstLine="0"/>
        <w:jc w:val="center"/>
        <w:rPr>
          <w:rFonts w:ascii="Tahoma"/>
          <w:b/>
          <w:sz w:val="24"/>
        </w:rPr>
      </w:pPr>
      <w:r>
        <w:rPr>
          <w:rFonts w:ascii="Tahoma"/>
          <w:b/>
          <w:spacing w:val="-2"/>
          <w:sz w:val="24"/>
        </w:rPr>
        <w:t>BIDANG</w:t>
      </w:r>
    </w:p>
    <w:p>
      <w:pPr>
        <w:spacing w:before="123"/>
        <w:ind w:left="1483" w:right="1628" w:firstLine="0"/>
        <w:jc w:val="center"/>
        <w:rPr>
          <w:rFonts w:ascii="Tahoma"/>
          <w:b/>
          <w:sz w:val="24"/>
        </w:rPr>
      </w:pPr>
      <w:r>
        <w:rPr>
          <w:rFonts w:ascii="Tahoma"/>
          <w:b/>
          <w:w w:val="90"/>
          <w:sz w:val="24"/>
        </w:rPr>
        <w:t>RISET</w:t>
      </w:r>
      <w:r>
        <w:rPr>
          <w:rFonts w:ascii="Tahoma"/>
          <w:b/>
          <w:spacing w:val="38"/>
          <w:sz w:val="24"/>
        </w:rPr>
        <w:t> </w:t>
      </w:r>
      <w:r>
        <w:rPr>
          <w:rFonts w:ascii="Tahoma"/>
          <w:b/>
          <w:w w:val="90"/>
          <w:sz w:val="24"/>
        </w:rPr>
        <w:t>EKONOMI</w:t>
      </w:r>
      <w:r>
        <w:rPr>
          <w:rFonts w:ascii="Tahoma"/>
          <w:b/>
          <w:spacing w:val="47"/>
          <w:sz w:val="24"/>
        </w:rPr>
        <w:t> </w:t>
      </w:r>
      <w:r>
        <w:rPr>
          <w:rFonts w:ascii="Tahoma"/>
          <w:b/>
          <w:w w:val="90"/>
          <w:sz w:val="24"/>
        </w:rPr>
        <w:t>DAN</w:t>
      </w:r>
      <w:r>
        <w:rPr>
          <w:rFonts w:ascii="Tahoma"/>
          <w:b/>
          <w:spacing w:val="43"/>
          <w:sz w:val="24"/>
        </w:rPr>
        <w:t> </w:t>
      </w:r>
      <w:r>
        <w:rPr>
          <w:rFonts w:ascii="Tahoma"/>
          <w:b/>
          <w:w w:val="90"/>
          <w:sz w:val="24"/>
        </w:rPr>
        <w:t>PEMBANGUNAN</w:t>
      </w:r>
      <w:r>
        <w:rPr>
          <w:rFonts w:ascii="Tahoma"/>
          <w:b/>
          <w:spacing w:val="53"/>
          <w:sz w:val="24"/>
        </w:rPr>
        <w:t> </w:t>
      </w:r>
      <w:r>
        <w:rPr>
          <w:rFonts w:ascii="Tahoma"/>
          <w:b/>
          <w:spacing w:val="-2"/>
          <w:w w:val="90"/>
          <w:sz w:val="24"/>
        </w:rPr>
        <w:t>DAERAH</w:t>
      </w:r>
    </w:p>
    <w:p>
      <w:pPr>
        <w:pStyle w:val="BodyText"/>
        <w:jc w:val="left"/>
        <w:rPr>
          <w:rFonts w:ascii="Tahoma"/>
          <w:b/>
        </w:rPr>
      </w:pPr>
    </w:p>
    <w:p>
      <w:pPr>
        <w:pStyle w:val="BodyText"/>
        <w:jc w:val="left"/>
        <w:rPr>
          <w:rFonts w:ascii="Tahoma"/>
          <w:b/>
        </w:rPr>
      </w:pPr>
    </w:p>
    <w:p>
      <w:pPr>
        <w:pStyle w:val="BodyText"/>
        <w:spacing w:before="280"/>
        <w:jc w:val="left"/>
        <w:rPr>
          <w:rFonts w:ascii="Tahoma"/>
          <w:b/>
        </w:rPr>
      </w:pPr>
    </w:p>
    <w:p>
      <w:pPr>
        <w:spacing w:line="343" w:lineRule="auto" w:before="0"/>
        <w:ind w:left="1483" w:right="1628" w:firstLine="0"/>
        <w:jc w:val="center"/>
        <w:rPr>
          <w:rFonts w:ascii="Tahoma"/>
          <w:b/>
          <w:sz w:val="28"/>
        </w:rPr>
      </w:pPr>
      <w:r>
        <w:rPr>
          <w:rFonts w:ascii="Tahoma"/>
          <w:b/>
          <w:w w:val="90"/>
          <w:sz w:val="28"/>
        </w:rPr>
        <w:t>BADAN RISET DAN INOVASI DAERAH </w:t>
      </w:r>
      <w:r>
        <w:rPr>
          <w:rFonts w:ascii="Tahoma"/>
          <w:b/>
          <w:spacing w:val="-2"/>
          <w:sz w:val="28"/>
        </w:rPr>
        <w:t>KABUPATEN</w:t>
      </w:r>
      <w:r>
        <w:rPr>
          <w:rFonts w:ascii="Tahoma"/>
          <w:b/>
          <w:spacing w:val="-18"/>
          <w:sz w:val="28"/>
        </w:rPr>
        <w:t> </w:t>
      </w:r>
      <w:r>
        <w:rPr>
          <w:rFonts w:ascii="Tahoma"/>
          <w:b/>
          <w:spacing w:val="-2"/>
          <w:sz w:val="28"/>
        </w:rPr>
        <w:t>KUTAI</w:t>
      </w:r>
      <w:r>
        <w:rPr>
          <w:rFonts w:ascii="Tahoma"/>
          <w:b/>
          <w:spacing w:val="-18"/>
          <w:sz w:val="28"/>
        </w:rPr>
        <w:t> </w:t>
      </w:r>
      <w:r>
        <w:rPr>
          <w:rFonts w:ascii="Tahoma"/>
          <w:b/>
          <w:spacing w:val="-2"/>
          <w:sz w:val="28"/>
        </w:rPr>
        <w:t>KARTANEGARA </w:t>
      </w:r>
      <w:r>
        <w:rPr>
          <w:rFonts w:ascii="Tahoma"/>
          <w:b/>
          <w:w w:val="90"/>
          <w:sz w:val="28"/>
        </w:rPr>
        <w:t>PROVINSI KALIMANTAN TIMUR</w:t>
      </w:r>
    </w:p>
    <w:p>
      <w:pPr>
        <w:spacing w:line="324" w:lineRule="exact" w:before="0"/>
        <w:ind w:left="706" w:right="845" w:firstLine="0"/>
        <w:jc w:val="center"/>
        <w:rPr>
          <w:rFonts w:ascii="Tahoma"/>
          <w:b/>
          <w:sz w:val="28"/>
        </w:rPr>
      </w:pPr>
      <w:r>
        <w:rPr>
          <w:rFonts w:ascii="Tahoma"/>
          <w:b/>
          <w:spacing w:val="-4"/>
          <w:sz w:val="28"/>
        </w:rPr>
        <w:t>2023</w:t>
      </w:r>
    </w:p>
    <w:p>
      <w:pPr>
        <w:spacing w:after="0" w:line="324" w:lineRule="exact"/>
        <w:jc w:val="center"/>
        <w:rPr>
          <w:rFonts w:ascii="Tahoma"/>
          <w:b/>
          <w:sz w:val="28"/>
        </w:rPr>
        <w:sectPr>
          <w:footerReference w:type="default" r:id="rId5"/>
          <w:type w:val="continuous"/>
          <w:pgSz w:w="11910" w:h="16840"/>
          <w:pgMar w:header="0" w:footer="1447" w:top="1760" w:bottom="1640" w:left="1700" w:right="992"/>
          <w:pgNumType w:start="1"/>
        </w:sectPr>
      </w:pPr>
    </w:p>
    <w:p>
      <w:pPr>
        <w:pStyle w:val="Heading1"/>
        <w:ind w:left="1495"/>
        <w:rPr>
          <w:rFonts w:ascii="Segoe UI"/>
        </w:rPr>
      </w:pPr>
      <w:bookmarkStart w:name="_bookmark2" w:id="3"/>
      <w:bookmarkEnd w:id="3"/>
      <w:r>
        <w:rPr>
          <w:b w:val="0"/>
        </w:rPr>
      </w:r>
      <w:r>
        <w:rPr>
          <w:rFonts w:ascii="Segoe UI"/>
        </w:rPr>
        <w:t>DAFTAR</w:t>
      </w:r>
      <w:r>
        <w:rPr>
          <w:rFonts w:ascii="Segoe UI"/>
          <w:spacing w:val="62"/>
        </w:rPr>
        <w:t> </w:t>
      </w:r>
      <w:r>
        <w:rPr>
          <w:rFonts w:ascii="Segoe UI"/>
          <w:spacing w:val="-5"/>
        </w:rPr>
        <w:t>ISI</w:t>
      </w:r>
    </w:p>
    <w:p>
      <w:pPr>
        <w:pStyle w:val="Heading1"/>
        <w:spacing w:after="0"/>
        <w:rPr>
          <w:rFonts w:ascii="Segoe UI"/>
        </w:rPr>
        <w:sectPr>
          <w:pgSz w:w="11910" w:h="16840"/>
          <w:pgMar w:header="0" w:footer="1447" w:top="1580" w:bottom="1798" w:left="1700" w:right="992"/>
        </w:sectPr>
      </w:pPr>
    </w:p>
    <w:sdt>
      <w:sdtPr>
        <w:docPartObj>
          <w:docPartGallery w:val="Table of Contents"/>
          <w:docPartUnique/>
        </w:docPartObj>
      </w:sdtPr>
      <w:sdtEndPr/>
      <w:sdtContent>
        <w:p>
          <w:pPr>
            <w:pStyle w:val="TOC2"/>
            <w:tabs>
              <w:tab w:pos="8508" w:val="right" w:leader="dot"/>
            </w:tabs>
            <w:spacing w:before="635"/>
          </w:pPr>
          <w:hyperlink w:history="true" w:anchor="_bookmark0">
            <w:r>
              <w:rPr>
                <w:w w:val="90"/>
              </w:rPr>
              <w:t>HALAMAN</w:t>
            </w:r>
            <w:r>
              <w:rPr>
                <w:spacing w:val="33"/>
              </w:rPr>
              <w:t> </w:t>
            </w:r>
            <w:r>
              <w:rPr>
                <w:spacing w:val="-4"/>
              </w:rPr>
              <w:t>JUDUL</w:t>
            </w:r>
            <w:r>
              <w:rPr/>
              <w:tab/>
            </w:r>
            <w:r>
              <w:rPr>
                <w:spacing w:val="-10"/>
                <w:w w:val="95"/>
              </w:rPr>
              <w:t>i</w:t>
            </w:r>
          </w:hyperlink>
        </w:p>
        <w:p>
          <w:pPr>
            <w:pStyle w:val="TOC2"/>
            <w:tabs>
              <w:tab w:pos="8508" w:val="right" w:leader="dot"/>
            </w:tabs>
          </w:pPr>
          <w:hyperlink w:history="true" w:anchor="_bookmark1">
            <w:r>
              <w:rPr/>
              <w:t>KATA</w:t>
            </w:r>
            <w:r>
              <w:rPr>
                <w:spacing w:val="46"/>
              </w:rPr>
              <w:t> </w:t>
            </w:r>
            <w:r>
              <w:rPr>
                <w:spacing w:val="-2"/>
              </w:rPr>
              <w:t>PENGANTAR</w:t>
            </w:r>
            <w:r>
              <w:rPr/>
              <w:tab/>
            </w:r>
            <w:r>
              <w:rPr>
                <w:spacing w:val="-5"/>
              </w:rPr>
              <w:t>ii</w:t>
            </w:r>
          </w:hyperlink>
        </w:p>
        <w:p>
          <w:pPr>
            <w:pStyle w:val="TOC2"/>
            <w:tabs>
              <w:tab w:pos="8510" w:val="right" w:leader="dot"/>
            </w:tabs>
            <w:spacing w:before="141"/>
          </w:pPr>
          <w:hyperlink w:history="true" w:anchor="_bookmark2">
            <w:r>
              <w:rPr/>
              <w:t>DAFTAR</w:t>
            </w:r>
            <w:r>
              <w:rPr>
                <w:spacing w:val="44"/>
              </w:rPr>
              <w:t> </w:t>
            </w:r>
            <w:r>
              <w:rPr>
                <w:spacing w:val="-5"/>
              </w:rPr>
              <w:t>ISI</w:t>
            </w:r>
            <w:r>
              <w:rPr/>
              <w:tab/>
            </w:r>
            <w:r>
              <w:rPr>
                <w:spacing w:val="-5"/>
              </w:rPr>
              <w:t>vi</w:t>
            </w:r>
          </w:hyperlink>
        </w:p>
        <w:p>
          <w:pPr>
            <w:pStyle w:val="TOC2"/>
            <w:tabs>
              <w:tab w:pos="8509" w:val="right" w:leader="dot"/>
            </w:tabs>
            <w:spacing w:before="143"/>
          </w:pPr>
          <w:hyperlink w:history="true" w:anchor="_bookmark3">
            <w:r>
              <w:rPr/>
              <w:t>DAFTAR</w:t>
            </w:r>
            <w:r>
              <w:rPr>
                <w:spacing w:val="-13"/>
              </w:rPr>
              <w:t> </w:t>
            </w:r>
            <w:r>
              <w:rPr>
                <w:spacing w:val="-2"/>
              </w:rPr>
              <w:t>GAMBAR</w:t>
            </w:r>
            <w:r>
              <w:rPr/>
              <w:tab/>
            </w:r>
            <w:r>
              <w:rPr>
                <w:spacing w:val="-4"/>
              </w:rPr>
              <w:t>viii</w:t>
            </w:r>
          </w:hyperlink>
        </w:p>
        <w:p>
          <w:pPr>
            <w:pStyle w:val="TOC2"/>
            <w:tabs>
              <w:tab w:pos="8507" w:val="right" w:leader="dot"/>
            </w:tabs>
          </w:pPr>
          <w:hyperlink w:history="true" w:anchor="_bookmark3">
            <w:r>
              <w:rPr/>
              <w:t>DAFTAR</w:t>
            </w:r>
            <w:r>
              <w:rPr>
                <w:spacing w:val="-13"/>
              </w:rPr>
              <w:t> </w:t>
            </w:r>
            <w:r>
              <w:rPr>
                <w:spacing w:val="-2"/>
              </w:rPr>
              <w:t>TABEL</w:t>
            </w:r>
            <w:r>
              <w:rPr/>
              <w:tab/>
            </w:r>
            <w:r>
              <w:rPr>
                <w:spacing w:val="-7"/>
              </w:rPr>
              <w:t>ix</w:t>
            </w:r>
          </w:hyperlink>
        </w:p>
        <w:p>
          <w:pPr>
            <w:pStyle w:val="TOC1"/>
            <w:tabs>
              <w:tab w:pos="8505" w:val="right" w:leader="dot"/>
            </w:tabs>
          </w:pPr>
          <w:hyperlink w:history="true" w:anchor="_bookmark4">
            <w:r>
              <w:rPr>
                <w:spacing w:val="-8"/>
              </w:rPr>
              <w:t>BAB</w:t>
            </w:r>
            <w:r>
              <w:rPr>
                <w:spacing w:val="-13"/>
              </w:rPr>
              <w:t> </w:t>
            </w:r>
            <w:r>
              <w:rPr>
                <w:spacing w:val="-8"/>
              </w:rPr>
              <w:t>I</w:t>
            </w:r>
            <w:r>
              <w:rPr>
                <w:spacing w:val="-7"/>
              </w:rPr>
              <w:t> </w:t>
            </w:r>
            <w:r>
              <w:rPr>
                <w:spacing w:val="-8"/>
              </w:rPr>
              <w:t>PENDAHULUAN</w:t>
            </w:r>
            <w:r>
              <w:rPr/>
              <w:tab/>
            </w:r>
            <w:r>
              <w:rPr>
                <w:spacing w:val="-10"/>
              </w:rPr>
              <w:t>1</w:t>
            </w:r>
          </w:hyperlink>
        </w:p>
        <w:p>
          <w:pPr>
            <w:pStyle w:val="TOC3"/>
            <w:numPr>
              <w:ilvl w:val="1"/>
              <w:numId w:val="1"/>
            </w:numPr>
            <w:tabs>
              <w:tab w:pos="1030" w:val="left" w:leader="none"/>
              <w:tab w:pos="8505" w:val="right" w:leader="dot"/>
            </w:tabs>
            <w:spacing w:line="240" w:lineRule="auto" w:before="142" w:after="0"/>
            <w:ind w:left="1030" w:right="0" w:hanging="243"/>
            <w:jc w:val="left"/>
          </w:pPr>
          <w:hyperlink w:history="true" w:anchor="_bookmark5">
            <w:r>
              <w:rPr/>
              <w:t>Latar</w:t>
            </w:r>
            <w:r>
              <w:rPr>
                <w:spacing w:val="-12"/>
              </w:rPr>
              <w:t> </w:t>
            </w:r>
            <w:r>
              <w:rPr>
                <w:spacing w:val="-2"/>
              </w:rPr>
              <w:t>Belakang</w:t>
            </w:r>
            <w:r>
              <w:rPr/>
              <w:tab/>
            </w:r>
            <w:r>
              <w:rPr>
                <w:spacing w:val="-10"/>
              </w:rPr>
              <w:t>1</w:t>
            </w:r>
          </w:hyperlink>
        </w:p>
        <w:p>
          <w:pPr>
            <w:pStyle w:val="TOC3"/>
            <w:numPr>
              <w:ilvl w:val="1"/>
              <w:numId w:val="1"/>
            </w:numPr>
            <w:tabs>
              <w:tab w:pos="1088" w:val="left" w:leader="none"/>
              <w:tab w:pos="8510" w:val="right" w:leader="dot"/>
            </w:tabs>
            <w:spacing w:line="240" w:lineRule="auto" w:before="137" w:after="0"/>
            <w:ind w:left="1088" w:right="0" w:hanging="301"/>
            <w:jc w:val="left"/>
          </w:pPr>
          <w:hyperlink w:history="true" w:anchor="_bookmark6">
            <w:r>
              <w:rPr/>
              <w:t>Pokok</w:t>
            </w:r>
            <w:r>
              <w:rPr>
                <w:spacing w:val="13"/>
              </w:rPr>
              <w:t> </w:t>
            </w:r>
            <w:r>
              <w:rPr>
                <w:spacing w:val="-2"/>
              </w:rPr>
              <w:t>Permasalahan</w:t>
            </w:r>
            <w:r>
              <w:rPr/>
              <w:tab/>
            </w:r>
            <w:r>
              <w:rPr>
                <w:spacing w:val="-10"/>
              </w:rPr>
              <w:t>6</w:t>
            </w:r>
          </w:hyperlink>
        </w:p>
        <w:p>
          <w:pPr>
            <w:pStyle w:val="TOC3"/>
            <w:numPr>
              <w:ilvl w:val="1"/>
              <w:numId w:val="1"/>
            </w:numPr>
            <w:tabs>
              <w:tab w:pos="1092" w:val="left" w:leader="none"/>
              <w:tab w:pos="8510" w:val="right" w:leader="dot"/>
            </w:tabs>
            <w:spacing w:line="240" w:lineRule="auto" w:before="142" w:after="0"/>
            <w:ind w:left="1092" w:right="0" w:hanging="305"/>
            <w:jc w:val="left"/>
          </w:pPr>
          <w:hyperlink w:history="true" w:anchor="_bookmark7">
            <w:r>
              <w:rPr/>
              <w:t>Tujuan</w:t>
            </w:r>
            <w:r>
              <w:rPr>
                <w:spacing w:val="12"/>
              </w:rPr>
              <w:t> </w:t>
            </w:r>
            <w:r>
              <w:rPr/>
              <w:t>dan</w:t>
            </w:r>
            <w:r>
              <w:rPr>
                <w:spacing w:val="11"/>
              </w:rPr>
              <w:t> </w:t>
            </w:r>
            <w:r>
              <w:rPr>
                <w:spacing w:val="-2"/>
              </w:rPr>
              <w:t>Sasaran</w:t>
            </w:r>
            <w:r>
              <w:rPr/>
              <w:tab/>
            </w:r>
            <w:r>
              <w:rPr>
                <w:spacing w:val="-10"/>
              </w:rPr>
              <w:t>7</w:t>
            </w:r>
          </w:hyperlink>
        </w:p>
        <w:p>
          <w:pPr>
            <w:pStyle w:val="TOC3"/>
            <w:numPr>
              <w:ilvl w:val="1"/>
              <w:numId w:val="1"/>
            </w:numPr>
            <w:tabs>
              <w:tab w:pos="1102" w:val="left" w:leader="none"/>
              <w:tab w:pos="8508" w:val="right" w:leader="dot"/>
            </w:tabs>
            <w:spacing w:line="240" w:lineRule="auto" w:before="142" w:after="0"/>
            <w:ind w:left="1102" w:right="0" w:hanging="315"/>
            <w:jc w:val="left"/>
          </w:pPr>
          <w:hyperlink w:history="true" w:anchor="_bookmark8">
            <w:r>
              <w:rPr/>
              <w:t>Ruang</w:t>
            </w:r>
            <w:r>
              <w:rPr>
                <w:spacing w:val="-11"/>
              </w:rPr>
              <w:t> </w:t>
            </w:r>
            <w:r>
              <w:rPr>
                <w:spacing w:val="-2"/>
              </w:rPr>
              <w:t>Lingkup</w:t>
            </w:r>
            <w:r>
              <w:rPr/>
              <w:tab/>
            </w:r>
            <w:r>
              <w:rPr>
                <w:spacing w:val="-10"/>
              </w:rPr>
              <w:t>8</w:t>
            </w:r>
          </w:hyperlink>
        </w:p>
        <w:p>
          <w:pPr>
            <w:pStyle w:val="TOC1"/>
            <w:tabs>
              <w:tab w:pos="8508" w:val="right" w:leader="dot"/>
            </w:tabs>
          </w:pPr>
          <w:hyperlink w:history="true" w:anchor="_bookmark9">
            <w:r>
              <w:rPr/>
              <w:t>BAB</w:t>
            </w:r>
            <w:r>
              <w:rPr>
                <w:spacing w:val="-17"/>
              </w:rPr>
              <w:t> </w:t>
            </w:r>
            <w:r>
              <w:rPr/>
              <w:t>II</w:t>
            </w:r>
            <w:r>
              <w:rPr>
                <w:spacing w:val="-11"/>
              </w:rPr>
              <w:t> </w:t>
            </w:r>
            <w:r>
              <w:rPr/>
              <w:t>TINJAUAN</w:t>
            </w:r>
            <w:r>
              <w:rPr>
                <w:spacing w:val="43"/>
              </w:rPr>
              <w:t> </w:t>
            </w:r>
            <w:r>
              <w:rPr>
                <w:spacing w:val="-2"/>
              </w:rPr>
              <w:t>PUSTAKA</w:t>
            </w:r>
            <w:r>
              <w:rPr/>
              <w:tab/>
            </w:r>
            <w:r>
              <w:rPr>
                <w:spacing w:val="-10"/>
              </w:rPr>
              <w:t>9</w:t>
            </w:r>
          </w:hyperlink>
        </w:p>
        <w:p>
          <w:pPr>
            <w:pStyle w:val="TOC3"/>
            <w:numPr>
              <w:ilvl w:val="1"/>
              <w:numId w:val="2"/>
            </w:numPr>
            <w:tabs>
              <w:tab w:pos="1087" w:val="left" w:leader="none"/>
              <w:tab w:pos="8508" w:val="right" w:leader="dot"/>
            </w:tabs>
            <w:spacing w:line="240" w:lineRule="auto" w:before="143" w:after="0"/>
            <w:ind w:left="1087" w:right="0" w:hanging="300"/>
            <w:jc w:val="left"/>
          </w:pPr>
          <w:hyperlink w:history="true" w:anchor="_bookmark10">
            <w:r>
              <w:rPr/>
              <w:t>Tinjauan</w:t>
            </w:r>
            <w:r>
              <w:rPr>
                <w:spacing w:val="-17"/>
              </w:rPr>
              <w:t> </w:t>
            </w:r>
            <w:r>
              <w:rPr/>
              <w:t>Kebijakan</w:t>
            </w:r>
            <w:r>
              <w:rPr>
                <w:spacing w:val="-17"/>
              </w:rPr>
              <w:t> </w:t>
            </w:r>
            <w:r>
              <w:rPr>
                <w:spacing w:val="-5"/>
              </w:rPr>
              <w:t>IKN</w:t>
            </w:r>
            <w:r>
              <w:rPr/>
              <w:tab/>
            </w:r>
            <w:r>
              <w:rPr>
                <w:spacing w:val="-10"/>
              </w:rPr>
              <w:t>9</w:t>
            </w:r>
          </w:hyperlink>
        </w:p>
        <w:p>
          <w:pPr>
            <w:pStyle w:val="TOC3"/>
            <w:numPr>
              <w:ilvl w:val="1"/>
              <w:numId w:val="2"/>
            </w:numPr>
            <w:tabs>
              <w:tab w:pos="1140" w:val="left" w:leader="none"/>
              <w:tab w:pos="8508" w:val="right" w:leader="dot"/>
            </w:tabs>
            <w:spacing w:line="240" w:lineRule="auto" w:before="142" w:after="0"/>
            <w:ind w:left="1140" w:right="0" w:hanging="353"/>
            <w:jc w:val="left"/>
          </w:pPr>
          <w:hyperlink w:history="true" w:anchor="_bookmark11">
            <w:r>
              <w:rPr/>
              <w:t>Konsep</w:t>
            </w:r>
            <w:r>
              <w:rPr>
                <w:spacing w:val="-14"/>
              </w:rPr>
              <w:t> </w:t>
            </w:r>
            <w:r>
              <w:rPr/>
              <w:t>Demokrasi</w:t>
            </w:r>
            <w:r>
              <w:rPr>
                <w:spacing w:val="-15"/>
              </w:rPr>
              <w:t> </w:t>
            </w:r>
            <w:r>
              <w:rPr/>
              <w:t>dan</w:t>
            </w:r>
            <w:r>
              <w:rPr>
                <w:spacing w:val="-13"/>
              </w:rPr>
              <w:t> </w:t>
            </w:r>
            <w:r>
              <w:rPr>
                <w:spacing w:val="-2"/>
              </w:rPr>
              <w:t>Desentralisasi</w:t>
            </w:r>
            <w:r>
              <w:rPr/>
              <w:tab/>
            </w:r>
            <w:r>
              <w:rPr>
                <w:spacing w:val="-5"/>
              </w:rPr>
              <w:t>14</w:t>
            </w:r>
          </w:hyperlink>
        </w:p>
        <w:p>
          <w:pPr>
            <w:pStyle w:val="TOC3"/>
            <w:numPr>
              <w:ilvl w:val="1"/>
              <w:numId w:val="2"/>
            </w:numPr>
            <w:tabs>
              <w:tab w:pos="1144" w:val="left" w:leader="none"/>
              <w:tab w:pos="8508" w:val="right" w:leader="dot"/>
            </w:tabs>
            <w:spacing w:line="240" w:lineRule="auto" w:before="141" w:after="0"/>
            <w:ind w:left="1144" w:right="0" w:hanging="357"/>
            <w:jc w:val="left"/>
          </w:pPr>
          <w:hyperlink w:history="true" w:anchor="_bookmark12">
            <w:r>
              <w:rPr/>
              <w:t>Penerimaan</w:t>
            </w:r>
            <w:r>
              <w:rPr>
                <w:spacing w:val="-17"/>
              </w:rPr>
              <w:t> </w:t>
            </w:r>
            <w:r>
              <w:rPr>
                <w:spacing w:val="-2"/>
              </w:rPr>
              <w:t>Daerah</w:t>
            </w:r>
            <w:r>
              <w:rPr/>
              <w:tab/>
            </w:r>
            <w:r>
              <w:rPr>
                <w:spacing w:val="-5"/>
              </w:rPr>
              <w:t>17</w:t>
            </w:r>
          </w:hyperlink>
        </w:p>
        <w:p>
          <w:pPr>
            <w:pStyle w:val="TOC4"/>
            <w:numPr>
              <w:ilvl w:val="2"/>
              <w:numId w:val="2"/>
            </w:numPr>
            <w:tabs>
              <w:tab w:pos="1442" w:val="left" w:leader="none"/>
              <w:tab w:pos="8498" w:val="right" w:leader="dot"/>
            </w:tabs>
            <w:spacing w:line="240" w:lineRule="auto" w:before="143" w:after="0"/>
            <w:ind w:left="1442" w:right="0" w:hanging="473"/>
            <w:jc w:val="left"/>
          </w:pPr>
          <w:hyperlink w:history="true" w:anchor="_bookmark13">
            <w:r>
              <w:rPr/>
              <w:t>Pendapatan</w:t>
            </w:r>
            <w:r>
              <w:rPr>
                <w:spacing w:val="-15"/>
              </w:rPr>
              <w:t> </w:t>
            </w:r>
            <w:r>
              <w:rPr>
                <w:spacing w:val="-2"/>
              </w:rPr>
              <w:t>Daerah</w:t>
            </w:r>
            <w:r>
              <w:rPr/>
              <w:tab/>
            </w:r>
            <w:r>
              <w:rPr>
                <w:spacing w:val="-5"/>
              </w:rPr>
              <w:t>17</w:t>
            </w:r>
          </w:hyperlink>
        </w:p>
        <w:p>
          <w:pPr>
            <w:pStyle w:val="TOC4"/>
            <w:numPr>
              <w:ilvl w:val="2"/>
              <w:numId w:val="2"/>
            </w:numPr>
            <w:tabs>
              <w:tab w:pos="1499" w:val="left" w:leader="none"/>
              <w:tab w:pos="8498" w:val="right" w:leader="dot"/>
            </w:tabs>
            <w:spacing w:line="240" w:lineRule="auto" w:before="142" w:after="0"/>
            <w:ind w:left="1499" w:right="0" w:hanging="530"/>
            <w:jc w:val="left"/>
          </w:pPr>
          <w:hyperlink w:history="true" w:anchor="_bookmark15">
            <w:r>
              <w:rPr/>
              <w:t>Transfer</w:t>
            </w:r>
            <w:r>
              <w:rPr>
                <w:spacing w:val="-17"/>
              </w:rPr>
              <w:t> </w:t>
            </w:r>
            <w:r>
              <w:rPr/>
              <w:t>Ke</w:t>
            </w:r>
            <w:r>
              <w:rPr>
                <w:spacing w:val="-10"/>
              </w:rPr>
              <w:t> </w:t>
            </w:r>
            <w:r>
              <w:rPr>
                <w:spacing w:val="-2"/>
              </w:rPr>
              <w:t>Daerah</w:t>
            </w:r>
            <w:r>
              <w:rPr/>
              <w:tab/>
            </w:r>
            <w:r>
              <w:rPr>
                <w:spacing w:val="-5"/>
              </w:rPr>
              <w:t>31</w:t>
            </w:r>
          </w:hyperlink>
        </w:p>
        <w:p>
          <w:pPr>
            <w:pStyle w:val="TOC4"/>
            <w:numPr>
              <w:ilvl w:val="2"/>
              <w:numId w:val="2"/>
            </w:numPr>
            <w:tabs>
              <w:tab w:pos="1499" w:val="left" w:leader="none"/>
              <w:tab w:pos="8494" w:val="right" w:leader="dot"/>
            </w:tabs>
            <w:spacing w:line="240" w:lineRule="auto" w:before="137" w:after="0"/>
            <w:ind w:left="1499" w:right="0" w:hanging="530"/>
            <w:jc w:val="left"/>
          </w:pPr>
          <w:hyperlink w:history="true" w:anchor="_bookmark16">
            <w:r>
              <w:rPr/>
              <w:t>Lain-lain</w:t>
            </w:r>
            <w:r>
              <w:rPr>
                <w:spacing w:val="24"/>
              </w:rPr>
              <w:t> </w:t>
            </w:r>
            <w:r>
              <w:rPr/>
              <w:t>Pendapatan</w:t>
            </w:r>
            <w:r>
              <w:rPr>
                <w:spacing w:val="24"/>
              </w:rPr>
              <w:t> </w:t>
            </w:r>
            <w:r>
              <w:rPr/>
              <w:t>yang</w:t>
            </w:r>
            <w:r>
              <w:rPr>
                <w:spacing w:val="23"/>
              </w:rPr>
              <w:t> </w:t>
            </w:r>
            <w:r>
              <w:rPr>
                <w:spacing w:val="-5"/>
              </w:rPr>
              <w:t>Sah</w:t>
            </w:r>
            <w:r>
              <w:rPr/>
              <w:tab/>
            </w:r>
            <w:r>
              <w:rPr>
                <w:spacing w:val="-5"/>
              </w:rPr>
              <w:t>33</w:t>
            </w:r>
          </w:hyperlink>
        </w:p>
        <w:p>
          <w:pPr>
            <w:pStyle w:val="TOC4"/>
            <w:numPr>
              <w:ilvl w:val="2"/>
              <w:numId w:val="2"/>
            </w:numPr>
            <w:tabs>
              <w:tab w:pos="1508" w:val="left" w:leader="none"/>
            </w:tabs>
            <w:spacing w:line="240" w:lineRule="auto" w:before="142" w:after="0"/>
            <w:ind w:left="1508" w:right="0" w:hanging="539"/>
            <w:jc w:val="left"/>
          </w:pPr>
          <w:hyperlink w:history="true" w:anchor="_bookmark17">
            <w:r>
              <w:rPr/>
              <w:t>Arah</w:t>
            </w:r>
            <w:r>
              <w:rPr>
                <w:spacing w:val="6"/>
              </w:rPr>
              <w:t> </w:t>
            </w:r>
            <w:r>
              <w:rPr/>
              <w:t>ke</w:t>
            </w:r>
            <w:r>
              <w:rPr>
                <w:spacing w:val="6"/>
              </w:rPr>
              <w:t> </w:t>
            </w:r>
            <w:r>
              <w:rPr/>
              <w:t>Depan</w:t>
            </w:r>
            <w:r>
              <w:rPr>
                <w:spacing w:val="12"/>
              </w:rPr>
              <w:t> </w:t>
            </w:r>
            <w:r>
              <w:rPr/>
              <w:t>Kebijakan</w:t>
            </w:r>
            <w:r>
              <w:rPr>
                <w:spacing w:val="6"/>
              </w:rPr>
              <w:t> </w:t>
            </w:r>
            <w:r>
              <w:rPr/>
              <w:t>Pajak</w:t>
            </w:r>
            <w:r>
              <w:rPr>
                <w:spacing w:val="10"/>
              </w:rPr>
              <w:t> </w:t>
            </w:r>
            <w:r>
              <w:rPr/>
              <w:t>Daerah</w:t>
            </w:r>
            <w:r>
              <w:rPr>
                <w:spacing w:val="3"/>
              </w:rPr>
              <w:t> </w:t>
            </w:r>
            <w:r>
              <w:rPr/>
              <w:t>dan</w:t>
            </w:r>
            <w:r>
              <w:rPr>
                <w:spacing w:val="7"/>
              </w:rPr>
              <w:t> </w:t>
            </w:r>
            <w:r>
              <w:rPr/>
              <w:t>Retribusi</w:t>
            </w:r>
            <w:r>
              <w:rPr>
                <w:spacing w:val="9"/>
              </w:rPr>
              <w:t> </w:t>
            </w:r>
            <w:r>
              <w:rPr/>
              <w:t>Daerah</w:t>
            </w:r>
            <w:r>
              <w:rPr>
                <w:spacing w:val="38"/>
              </w:rPr>
              <w:t> </w:t>
            </w:r>
            <w:r>
              <w:rPr>
                <w:spacing w:val="-5"/>
              </w:rPr>
              <w:t>33</w:t>
            </w:r>
          </w:hyperlink>
        </w:p>
        <w:p>
          <w:pPr>
            <w:pStyle w:val="TOC4"/>
            <w:numPr>
              <w:ilvl w:val="2"/>
              <w:numId w:val="2"/>
            </w:numPr>
            <w:tabs>
              <w:tab w:pos="1508" w:val="left" w:leader="none"/>
              <w:tab w:pos="8494" w:val="right" w:leader="dot"/>
            </w:tabs>
            <w:spacing w:line="240" w:lineRule="auto" w:before="142" w:after="0"/>
            <w:ind w:left="1508" w:right="0" w:hanging="539"/>
            <w:jc w:val="left"/>
          </w:pPr>
          <w:hyperlink w:history="true" w:anchor="_bookmark18">
            <w:r>
              <w:rPr/>
              <w:t>Strategi</w:t>
            </w:r>
            <w:r>
              <w:rPr>
                <w:spacing w:val="18"/>
              </w:rPr>
              <w:t> </w:t>
            </w:r>
            <w:r>
              <w:rPr/>
              <w:t>Peningkatan</w:t>
            </w:r>
            <w:r>
              <w:rPr>
                <w:spacing w:val="18"/>
              </w:rPr>
              <w:t> </w:t>
            </w:r>
            <w:r>
              <w:rPr/>
              <w:t>Pajak</w:t>
            </w:r>
            <w:r>
              <w:rPr>
                <w:spacing w:val="16"/>
              </w:rPr>
              <w:t> </w:t>
            </w:r>
            <w:r>
              <w:rPr/>
              <w:t>Daerah</w:t>
            </w:r>
            <w:r>
              <w:rPr>
                <w:spacing w:val="19"/>
              </w:rPr>
              <w:t> </w:t>
            </w:r>
            <w:r>
              <w:rPr/>
              <w:t>dan</w:t>
            </w:r>
            <w:r>
              <w:rPr>
                <w:spacing w:val="17"/>
              </w:rPr>
              <w:t> </w:t>
            </w:r>
            <w:r>
              <w:rPr/>
              <w:t>Retribusi</w:t>
            </w:r>
            <w:r>
              <w:rPr>
                <w:spacing w:val="18"/>
              </w:rPr>
              <w:t> </w:t>
            </w:r>
            <w:r>
              <w:rPr>
                <w:spacing w:val="-2"/>
              </w:rPr>
              <w:t>Daerah</w:t>
            </w:r>
            <w:r>
              <w:rPr/>
              <w:tab/>
            </w:r>
            <w:r>
              <w:rPr>
                <w:spacing w:val="-5"/>
              </w:rPr>
              <w:t>34</w:t>
            </w:r>
          </w:hyperlink>
        </w:p>
        <w:p>
          <w:pPr>
            <w:pStyle w:val="TOC3"/>
            <w:numPr>
              <w:ilvl w:val="1"/>
              <w:numId w:val="2"/>
            </w:numPr>
            <w:tabs>
              <w:tab w:pos="1156" w:val="left" w:leader="none"/>
              <w:tab w:pos="8503" w:val="right" w:leader="dot"/>
            </w:tabs>
            <w:spacing w:line="240" w:lineRule="auto" w:before="142" w:after="0"/>
            <w:ind w:left="1156" w:right="0" w:hanging="369"/>
            <w:jc w:val="left"/>
          </w:pPr>
          <w:hyperlink w:history="true" w:anchor="_bookmark19">
            <w:r>
              <w:rPr/>
              <w:t>Pengeluaran</w:t>
            </w:r>
            <w:r>
              <w:rPr>
                <w:spacing w:val="40"/>
              </w:rPr>
              <w:t> </w:t>
            </w:r>
            <w:r>
              <w:rPr>
                <w:spacing w:val="-2"/>
              </w:rPr>
              <w:t>Daerah</w:t>
            </w:r>
            <w:r>
              <w:rPr/>
              <w:tab/>
            </w:r>
            <w:r>
              <w:rPr>
                <w:spacing w:val="-5"/>
              </w:rPr>
              <w:t>37</w:t>
            </w:r>
          </w:hyperlink>
        </w:p>
        <w:p>
          <w:pPr>
            <w:pStyle w:val="TOC3"/>
            <w:numPr>
              <w:ilvl w:val="1"/>
              <w:numId w:val="2"/>
            </w:numPr>
            <w:tabs>
              <w:tab w:pos="1156" w:val="left" w:leader="none"/>
              <w:tab w:pos="8503" w:val="right" w:leader="dot"/>
            </w:tabs>
            <w:spacing w:line="240" w:lineRule="auto" w:before="142" w:after="0"/>
            <w:ind w:left="1156" w:right="0" w:hanging="369"/>
            <w:jc w:val="left"/>
          </w:pPr>
          <w:hyperlink w:history="true" w:anchor="_bookmark20">
            <w:r>
              <w:rPr/>
              <w:t>Kerjasama</w:t>
            </w:r>
            <w:r>
              <w:rPr>
                <w:spacing w:val="32"/>
              </w:rPr>
              <w:t> </w:t>
            </w:r>
            <w:r>
              <w:rPr>
                <w:spacing w:val="-2"/>
              </w:rPr>
              <w:t>Daerah</w:t>
            </w:r>
            <w:r>
              <w:rPr/>
              <w:tab/>
            </w:r>
            <w:r>
              <w:rPr>
                <w:spacing w:val="-5"/>
              </w:rPr>
              <w:t>40</w:t>
            </w:r>
          </w:hyperlink>
        </w:p>
        <w:p>
          <w:pPr>
            <w:pStyle w:val="TOC1"/>
            <w:tabs>
              <w:tab w:pos="8508" w:val="right" w:leader="dot"/>
            </w:tabs>
          </w:pPr>
          <w:hyperlink w:history="true" w:anchor="_bookmark21">
            <w:r>
              <w:rPr/>
              <w:t>BAB</w:t>
            </w:r>
            <w:r>
              <w:rPr>
                <w:spacing w:val="-18"/>
              </w:rPr>
              <w:t> </w:t>
            </w:r>
            <w:r>
              <w:rPr/>
              <w:t>III</w:t>
            </w:r>
            <w:r>
              <w:rPr>
                <w:spacing w:val="-17"/>
              </w:rPr>
              <w:t> </w:t>
            </w:r>
            <w:r>
              <w:rPr/>
              <w:t>METODOLOGI</w:t>
            </w:r>
            <w:r>
              <w:rPr>
                <w:spacing w:val="-17"/>
              </w:rPr>
              <w:t> </w:t>
            </w:r>
            <w:r>
              <w:rPr>
                <w:spacing w:val="-2"/>
              </w:rPr>
              <w:t>PENELITIAN</w:t>
            </w:r>
            <w:r>
              <w:rPr/>
              <w:tab/>
            </w:r>
            <w:r>
              <w:rPr>
                <w:spacing w:val="-5"/>
              </w:rPr>
              <w:t>47</w:t>
            </w:r>
          </w:hyperlink>
        </w:p>
        <w:p>
          <w:pPr>
            <w:pStyle w:val="TOC3"/>
            <w:numPr>
              <w:ilvl w:val="1"/>
              <w:numId w:val="3"/>
            </w:numPr>
            <w:tabs>
              <w:tab w:pos="1092" w:val="left" w:leader="none"/>
              <w:tab w:pos="8503" w:val="right" w:leader="dot"/>
            </w:tabs>
            <w:spacing w:line="240" w:lineRule="auto" w:before="143" w:after="0"/>
            <w:ind w:left="1092" w:right="0" w:hanging="305"/>
            <w:jc w:val="left"/>
          </w:pPr>
          <w:hyperlink w:history="true" w:anchor="_bookmark22">
            <w:r>
              <w:rPr/>
              <w:t>Pendekatan</w:t>
            </w:r>
            <w:r>
              <w:rPr>
                <w:spacing w:val="37"/>
              </w:rPr>
              <w:t> </w:t>
            </w:r>
            <w:r>
              <w:rPr>
                <w:spacing w:val="-2"/>
              </w:rPr>
              <w:t>Penelitian</w:t>
            </w:r>
            <w:r>
              <w:rPr/>
              <w:tab/>
            </w:r>
            <w:r>
              <w:rPr>
                <w:spacing w:val="-5"/>
              </w:rPr>
              <w:t>47</w:t>
            </w:r>
          </w:hyperlink>
        </w:p>
        <w:p>
          <w:pPr>
            <w:pStyle w:val="TOC3"/>
            <w:numPr>
              <w:ilvl w:val="1"/>
              <w:numId w:val="3"/>
            </w:numPr>
            <w:tabs>
              <w:tab w:pos="1145" w:val="left" w:leader="none"/>
              <w:tab w:pos="8503" w:val="right" w:leader="dot"/>
            </w:tabs>
            <w:spacing w:line="240" w:lineRule="auto" w:before="142" w:after="0"/>
            <w:ind w:left="1145" w:right="0" w:hanging="358"/>
            <w:jc w:val="left"/>
          </w:pPr>
          <w:hyperlink w:history="true" w:anchor="_bookmark25">
            <w:r>
              <w:rPr/>
              <w:t>Teknik</w:t>
            </w:r>
            <w:r>
              <w:rPr>
                <w:spacing w:val="31"/>
              </w:rPr>
              <w:t> </w:t>
            </w:r>
            <w:r>
              <w:rPr/>
              <w:t>Pengumpulan</w:t>
            </w:r>
            <w:r>
              <w:rPr>
                <w:spacing w:val="36"/>
              </w:rPr>
              <w:t> </w:t>
            </w:r>
            <w:r>
              <w:rPr>
                <w:spacing w:val="-4"/>
              </w:rPr>
              <w:t>Data</w:t>
            </w:r>
            <w:r>
              <w:rPr/>
              <w:tab/>
            </w:r>
            <w:r>
              <w:rPr>
                <w:spacing w:val="-5"/>
              </w:rPr>
              <w:t>50</w:t>
            </w:r>
          </w:hyperlink>
        </w:p>
        <w:p>
          <w:pPr>
            <w:pStyle w:val="TOC3"/>
            <w:numPr>
              <w:ilvl w:val="1"/>
              <w:numId w:val="3"/>
            </w:numPr>
            <w:tabs>
              <w:tab w:pos="1150" w:val="left" w:leader="none"/>
              <w:tab w:pos="8508" w:val="right" w:leader="dot"/>
            </w:tabs>
            <w:spacing w:line="240" w:lineRule="auto" w:before="141" w:after="0"/>
            <w:ind w:left="1150" w:right="0" w:hanging="363"/>
            <w:jc w:val="left"/>
          </w:pPr>
          <w:hyperlink w:history="true" w:anchor="_bookmark26">
            <w:r>
              <w:rPr>
                <w:spacing w:val="-2"/>
              </w:rPr>
              <w:t>Analisis</w:t>
            </w:r>
            <w:r>
              <w:rPr>
                <w:spacing w:val="-3"/>
              </w:rPr>
              <w:t> </w:t>
            </w:r>
            <w:r>
              <w:rPr>
                <w:spacing w:val="-4"/>
              </w:rPr>
              <w:t>Data</w:t>
            </w:r>
            <w:r>
              <w:rPr/>
              <w:tab/>
            </w:r>
            <w:r>
              <w:rPr>
                <w:spacing w:val="-5"/>
              </w:rPr>
              <w:t>51</w:t>
            </w:r>
          </w:hyperlink>
        </w:p>
        <w:p>
          <w:pPr>
            <w:pStyle w:val="TOC3"/>
            <w:numPr>
              <w:ilvl w:val="1"/>
              <w:numId w:val="3"/>
            </w:numPr>
            <w:tabs>
              <w:tab w:pos="1160" w:val="left" w:leader="none"/>
              <w:tab w:pos="8508" w:val="right" w:leader="dot"/>
            </w:tabs>
            <w:spacing w:line="240" w:lineRule="auto" w:before="143" w:after="20"/>
            <w:ind w:left="1160" w:right="0" w:hanging="373"/>
            <w:jc w:val="left"/>
          </w:pPr>
          <w:hyperlink w:history="true" w:anchor="_bookmark27">
            <w:r>
              <w:rPr>
                <w:spacing w:val="-2"/>
              </w:rPr>
              <w:t>Keluaran/Output</w:t>
            </w:r>
            <w:r>
              <w:rPr/>
              <w:tab/>
            </w:r>
            <w:r>
              <w:rPr>
                <w:spacing w:val="-5"/>
              </w:rPr>
              <w:t>52</w:t>
            </w:r>
          </w:hyperlink>
        </w:p>
        <w:p>
          <w:pPr>
            <w:pStyle w:val="TOC3"/>
            <w:numPr>
              <w:ilvl w:val="1"/>
              <w:numId w:val="3"/>
            </w:numPr>
            <w:tabs>
              <w:tab w:pos="1160" w:val="left" w:leader="none"/>
              <w:tab w:pos="8503" w:val="right" w:leader="dot"/>
            </w:tabs>
            <w:spacing w:line="240" w:lineRule="auto" w:before="21" w:after="0"/>
            <w:ind w:left="1160" w:right="0" w:hanging="373"/>
            <w:jc w:val="left"/>
          </w:pPr>
          <w:hyperlink w:history="true" w:anchor="_bookmark28">
            <w:r>
              <w:rPr/>
              <w:t>Waktu</w:t>
            </w:r>
            <w:r>
              <w:rPr>
                <w:spacing w:val="20"/>
              </w:rPr>
              <w:t> </w:t>
            </w:r>
            <w:r>
              <w:rPr/>
              <w:t>Pelaksanaan</w:t>
            </w:r>
            <w:r>
              <w:rPr>
                <w:spacing w:val="21"/>
              </w:rPr>
              <w:t> </w:t>
            </w:r>
            <w:r>
              <w:rPr/>
              <w:t>dan</w:t>
            </w:r>
            <w:r>
              <w:rPr>
                <w:spacing w:val="21"/>
              </w:rPr>
              <w:t> </w:t>
            </w:r>
            <w:r>
              <w:rPr/>
              <w:t>Tenaga</w:t>
            </w:r>
            <w:r>
              <w:rPr>
                <w:spacing w:val="17"/>
              </w:rPr>
              <w:t> </w:t>
            </w:r>
            <w:r>
              <w:rPr>
                <w:spacing w:val="-4"/>
              </w:rPr>
              <w:t>Ahli</w:t>
            </w:r>
            <w:r>
              <w:rPr/>
              <w:tab/>
            </w:r>
            <w:r>
              <w:rPr>
                <w:spacing w:val="-5"/>
              </w:rPr>
              <w:t>53</w:t>
            </w:r>
          </w:hyperlink>
        </w:p>
        <w:p>
          <w:pPr>
            <w:pStyle w:val="TOC3"/>
            <w:numPr>
              <w:ilvl w:val="1"/>
              <w:numId w:val="3"/>
            </w:numPr>
            <w:tabs>
              <w:tab w:pos="1160" w:val="left" w:leader="none"/>
              <w:tab w:pos="8508" w:val="right" w:leader="dot"/>
            </w:tabs>
            <w:spacing w:line="240" w:lineRule="auto" w:before="142" w:after="0"/>
            <w:ind w:left="1160" w:right="0" w:hanging="373"/>
            <w:jc w:val="left"/>
          </w:pPr>
          <w:hyperlink w:history="true" w:anchor="_bookmark30">
            <w:r>
              <w:rPr/>
              <w:t>Kerangka</w:t>
            </w:r>
            <w:r>
              <w:rPr>
                <w:spacing w:val="-15"/>
              </w:rPr>
              <w:t> </w:t>
            </w:r>
            <w:r>
              <w:rPr>
                <w:spacing w:val="-2"/>
              </w:rPr>
              <w:t>Pikir</w:t>
            </w:r>
            <w:r>
              <w:rPr/>
              <w:tab/>
            </w:r>
            <w:r>
              <w:rPr>
                <w:spacing w:val="-5"/>
              </w:rPr>
              <w:t>55</w:t>
            </w:r>
          </w:hyperlink>
        </w:p>
        <w:p>
          <w:pPr>
            <w:pStyle w:val="TOC1"/>
            <w:tabs>
              <w:tab w:pos="8508" w:val="right" w:leader="dot"/>
            </w:tabs>
          </w:pPr>
          <w:hyperlink w:history="true" w:anchor="_bookmark32">
            <w:r>
              <w:rPr/>
              <w:t>BAB</w:t>
            </w:r>
            <w:r>
              <w:rPr>
                <w:spacing w:val="-21"/>
              </w:rPr>
              <w:t> </w:t>
            </w:r>
            <w:r>
              <w:rPr/>
              <w:t>IV</w:t>
            </w:r>
            <w:r>
              <w:rPr>
                <w:spacing w:val="-18"/>
              </w:rPr>
              <w:t> </w:t>
            </w:r>
            <w:r>
              <w:rPr/>
              <w:t>GAMBARAN</w:t>
            </w:r>
            <w:r>
              <w:rPr>
                <w:spacing w:val="-17"/>
              </w:rPr>
              <w:t> </w:t>
            </w:r>
            <w:r>
              <w:rPr/>
              <w:t>UMUM</w:t>
            </w:r>
            <w:r>
              <w:rPr>
                <w:spacing w:val="13"/>
              </w:rPr>
              <w:t> </w:t>
            </w:r>
            <w:r>
              <w:rPr/>
              <w:t>KABUPATEN</w:t>
            </w:r>
            <w:r>
              <w:rPr>
                <w:spacing w:val="-17"/>
              </w:rPr>
              <w:t> </w:t>
            </w:r>
            <w:r>
              <w:rPr/>
              <w:t>KUTAI</w:t>
            </w:r>
            <w:r>
              <w:rPr>
                <w:spacing w:val="-18"/>
              </w:rPr>
              <w:t> </w:t>
            </w:r>
            <w:r>
              <w:rPr>
                <w:spacing w:val="-2"/>
              </w:rPr>
              <w:t>KARTANEGARA</w:t>
            </w:r>
            <w:r>
              <w:rPr/>
              <w:tab/>
            </w:r>
            <w:r>
              <w:rPr>
                <w:spacing w:val="-5"/>
              </w:rPr>
              <w:t>58</w:t>
            </w:r>
          </w:hyperlink>
        </w:p>
        <w:p>
          <w:pPr>
            <w:pStyle w:val="TOC3"/>
            <w:numPr>
              <w:ilvl w:val="1"/>
              <w:numId w:val="4"/>
            </w:numPr>
            <w:tabs>
              <w:tab w:pos="1102" w:val="left" w:leader="none"/>
              <w:tab w:pos="8503" w:val="right" w:leader="dot"/>
            </w:tabs>
            <w:spacing w:line="240" w:lineRule="auto" w:before="137" w:after="0"/>
            <w:ind w:left="1102" w:right="0" w:hanging="315"/>
            <w:jc w:val="left"/>
          </w:pPr>
          <w:hyperlink w:history="true" w:anchor="_bookmark33">
            <w:r>
              <w:rPr/>
              <w:t>Gambaran</w:t>
            </w:r>
            <w:r>
              <w:rPr>
                <w:spacing w:val="37"/>
              </w:rPr>
              <w:t> </w:t>
            </w:r>
            <w:r>
              <w:rPr/>
              <w:t>Wilayah</w:t>
            </w:r>
            <w:r>
              <w:rPr>
                <w:spacing w:val="38"/>
              </w:rPr>
              <w:t> </w:t>
            </w:r>
            <w:r>
              <w:rPr/>
              <w:t>Kabupaten</w:t>
            </w:r>
            <w:r>
              <w:rPr>
                <w:spacing w:val="37"/>
              </w:rPr>
              <w:t> </w:t>
            </w:r>
            <w:r>
              <w:rPr/>
              <w:t>Kutai</w:t>
            </w:r>
            <w:r>
              <w:rPr>
                <w:spacing w:val="37"/>
              </w:rPr>
              <w:t> </w:t>
            </w:r>
            <w:r>
              <w:rPr/>
              <w:t>Kartanegara</w:t>
            </w:r>
            <w:r>
              <w:rPr>
                <w:spacing w:val="33"/>
              </w:rPr>
              <w:t> </w:t>
            </w:r>
            <w:r>
              <w:rPr/>
              <w:t>Sebelum</w:t>
            </w:r>
            <w:r>
              <w:rPr>
                <w:spacing w:val="36"/>
              </w:rPr>
              <w:t> </w:t>
            </w:r>
            <w:r>
              <w:rPr>
                <w:spacing w:val="-5"/>
              </w:rPr>
              <w:t>IKN</w:t>
            </w:r>
            <w:r>
              <w:rPr/>
              <w:tab/>
            </w:r>
            <w:r>
              <w:rPr>
                <w:spacing w:val="-5"/>
              </w:rPr>
              <w:t>58</w:t>
            </w:r>
          </w:hyperlink>
        </w:p>
        <w:p>
          <w:pPr>
            <w:pStyle w:val="TOC3"/>
            <w:numPr>
              <w:ilvl w:val="1"/>
              <w:numId w:val="4"/>
            </w:numPr>
            <w:tabs>
              <w:tab w:pos="1155" w:val="left" w:leader="none"/>
              <w:tab w:pos="8503" w:val="right" w:leader="dot"/>
            </w:tabs>
            <w:spacing w:line="240" w:lineRule="auto" w:before="142" w:after="0"/>
            <w:ind w:left="1155" w:right="0" w:hanging="368"/>
            <w:jc w:val="left"/>
          </w:pPr>
          <w:hyperlink w:history="true" w:anchor="_bookmark36">
            <w:r>
              <w:rPr/>
              <w:t>Gambaran</w:t>
            </w:r>
            <w:r>
              <w:rPr>
                <w:spacing w:val="34"/>
              </w:rPr>
              <w:t> </w:t>
            </w:r>
            <w:r>
              <w:rPr/>
              <w:t>Wilayah</w:t>
            </w:r>
            <w:r>
              <w:rPr>
                <w:spacing w:val="35"/>
              </w:rPr>
              <w:t> </w:t>
            </w:r>
            <w:r>
              <w:rPr/>
              <w:t>Kabupaten</w:t>
            </w:r>
            <w:r>
              <w:rPr>
                <w:spacing w:val="34"/>
              </w:rPr>
              <w:t> </w:t>
            </w:r>
            <w:r>
              <w:rPr/>
              <w:t>Kutai</w:t>
            </w:r>
            <w:r>
              <w:rPr>
                <w:spacing w:val="33"/>
              </w:rPr>
              <w:t> </w:t>
            </w:r>
            <w:r>
              <w:rPr/>
              <w:t>Kartanegara</w:t>
            </w:r>
            <w:r>
              <w:rPr>
                <w:spacing w:val="30"/>
              </w:rPr>
              <w:t> </w:t>
            </w:r>
            <w:r>
              <w:rPr/>
              <w:t>Pasca</w:t>
            </w:r>
            <w:r>
              <w:rPr>
                <w:spacing w:val="29"/>
              </w:rPr>
              <w:t> </w:t>
            </w:r>
            <w:r>
              <w:rPr>
                <w:spacing w:val="-5"/>
              </w:rPr>
              <w:t>IKN</w:t>
            </w:r>
            <w:r>
              <w:rPr/>
              <w:tab/>
            </w:r>
            <w:r>
              <w:rPr>
                <w:spacing w:val="-5"/>
              </w:rPr>
              <w:t>60</w:t>
            </w:r>
          </w:hyperlink>
        </w:p>
        <w:p>
          <w:pPr>
            <w:pStyle w:val="TOC1"/>
            <w:tabs>
              <w:tab w:pos="8508" w:val="right" w:leader="dot"/>
            </w:tabs>
          </w:pPr>
          <w:hyperlink w:history="true" w:anchor="_bookmark41">
            <w:r>
              <w:rPr/>
              <w:t>BAB</w:t>
            </w:r>
            <w:r>
              <w:rPr>
                <w:spacing w:val="-17"/>
              </w:rPr>
              <w:t> </w:t>
            </w:r>
            <w:r>
              <w:rPr/>
              <w:t>V</w:t>
            </w:r>
            <w:r>
              <w:rPr>
                <w:spacing w:val="-14"/>
              </w:rPr>
              <w:t> </w:t>
            </w:r>
            <w:r>
              <w:rPr/>
              <w:t>HASIL</w:t>
            </w:r>
            <w:r>
              <w:rPr>
                <w:spacing w:val="-10"/>
              </w:rPr>
              <w:t> </w:t>
            </w:r>
            <w:r>
              <w:rPr/>
              <w:t>DAN</w:t>
            </w:r>
            <w:r>
              <w:rPr>
                <w:spacing w:val="-13"/>
              </w:rPr>
              <w:t> </w:t>
            </w:r>
            <w:r>
              <w:rPr>
                <w:spacing w:val="-2"/>
              </w:rPr>
              <w:t>PEMBAHASAN</w:t>
            </w:r>
            <w:r>
              <w:rPr/>
              <w:tab/>
            </w:r>
            <w:r>
              <w:rPr>
                <w:spacing w:val="-5"/>
              </w:rPr>
              <w:t>68</w:t>
            </w:r>
          </w:hyperlink>
        </w:p>
        <w:p>
          <w:pPr>
            <w:pStyle w:val="TOC3"/>
            <w:numPr>
              <w:ilvl w:val="1"/>
              <w:numId w:val="5"/>
            </w:numPr>
            <w:tabs>
              <w:tab w:pos="1097" w:val="left" w:leader="none"/>
              <w:tab w:pos="8503" w:val="right" w:leader="dot"/>
            </w:tabs>
            <w:spacing w:line="240" w:lineRule="auto" w:before="142" w:after="0"/>
            <w:ind w:left="1097" w:right="0" w:hanging="310"/>
            <w:jc w:val="left"/>
          </w:pPr>
          <w:hyperlink w:history="true" w:anchor="_bookmark42">
            <w:r>
              <w:rPr/>
              <w:t>Potensi</w:t>
            </w:r>
            <w:r>
              <w:rPr>
                <w:spacing w:val="28"/>
              </w:rPr>
              <w:t> </w:t>
            </w:r>
            <w:r>
              <w:rPr/>
              <w:t>Pendapatan</w:t>
            </w:r>
            <w:r>
              <w:rPr>
                <w:spacing w:val="23"/>
              </w:rPr>
              <w:t> </w:t>
            </w:r>
            <w:r>
              <w:rPr/>
              <w:t>dan</w:t>
            </w:r>
            <w:r>
              <w:rPr>
                <w:spacing w:val="21"/>
              </w:rPr>
              <w:t> </w:t>
            </w:r>
            <w:r>
              <w:rPr/>
              <w:t>Pengeluaran</w:t>
            </w:r>
            <w:r>
              <w:rPr>
                <w:spacing w:val="24"/>
              </w:rPr>
              <w:t> </w:t>
            </w:r>
            <w:r>
              <w:rPr/>
              <w:t>Pasca</w:t>
            </w:r>
            <w:r>
              <w:rPr>
                <w:spacing w:val="17"/>
              </w:rPr>
              <w:t> </w:t>
            </w:r>
            <w:r>
              <w:rPr>
                <w:spacing w:val="-5"/>
              </w:rPr>
              <w:t>IKN</w:t>
            </w:r>
            <w:r>
              <w:rPr/>
              <w:tab/>
            </w:r>
            <w:r>
              <w:rPr>
                <w:spacing w:val="-5"/>
              </w:rPr>
              <w:t>68</w:t>
            </w:r>
          </w:hyperlink>
        </w:p>
        <w:p>
          <w:pPr>
            <w:pStyle w:val="TOC4"/>
            <w:numPr>
              <w:ilvl w:val="2"/>
              <w:numId w:val="5"/>
            </w:numPr>
            <w:tabs>
              <w:tab w:pos="1392" w:val="left" w:leader="none"/>
              <w:tab w:pos="8494" w:val="right" w:leader="dot"/>
            </w:tabs>
            <w:spacing w:line="240" w:lineRule="auto" w:before="142" w:after="0"/>
            <w:ind w:left="1392" w:right="0" w:hanging="423"/>
            <w:jc w:val="left"/>
          </w:pPr>
          <w:hyperlink w:history="true" w:anchor="_bookmark43">
            <w:r>
              <w:rPr/>
              <w:t>Potensi</w:t>
            </w:r>
            <w:r>
              <w:rPr>
                <w:spacing w:val="58"/>
                <w:w w:val="150"/>
              </w:rPr>
              <w:t> </w:t>
            </w:r>
            <w:r>
              <w:rPr/>
              <w:t>Pendapatan</w:t>
            </w:r>
            <w:r>
              <w:rPr>
                <w:spacing w:val="17"/>
              </w:rPr>
              <w:t> </w:t>
            </w:r>
            <w:r>
              <w:rPr/>
              <w:t>Pasca</w:t>
            </w:r>
            <w:r>
              <w:rPr>
                <w:spacing w:val="11"/>
              </w:rPr>
              <w:t> </w:t>
            </w:r>
            <w:r>
              <w:rPr>
                <w:spacing w:val="-5"/>
              </w:rPr>
              <w:t>IKN</w:t>
            </w:r>
            <w:r>
              <w:rPr/>
              <w:tab/>
            </w:r>
            <w:r>
              <w:rPr>
                <w:spacing w:val="-5"/>
              </w:rPr>
              <w:t>68</w:t>
            </w:r>
          </w:hyperlink>
        </w:p>
        <w:p>
          <w:pPr>
            <w:pStyle w:val="TOC4"/>
            <w:numPr>
              <w:ilvl w:val="2"/>
              <w:numId w:val="5"/>
            </w:numPr>
            <w:tabs>
              <w:tab w:pos="1450" w:val="left" w:leader="none"/>
              <w:tab w:pos="8498" w:val="right" w:leader="dot"/>
            </w:tabs>
            <w:spacing w:line="240" w:lineRule="auto" w:before="142" w:after="0"/>
            <w:ind w:left="1450" w:right="0" w:hanging="481"/>
            <w:jc w:val="left"/>
          </w:pPr>
          <w:hyperlink w:history="true" w:anchor="_bookmark49">
            <w:r>
              <w:rPr/>
              <w:t>Potensi</w:t>
            </w:r>
            <w:r>
              <w:rPr>
                <w:spacing w:val="-18"/>
              </w:rPr>
              <w:t> </w:t>
            </w:r>
            <w:r>
              <w:rPr/>
              <w:t>Pengeluaran</w:t>
            </w:r>
            <w:r>
              <w:rPr>
                <w:spacing w:val="-17"/>
              </w:rPr>
              <w:t> </w:t>
            </w:r>
            <w:r>
              <w:rPr/>
              <w:t>Pasca</w:t>
            </w:r>
            <w:r>
              <w:rPr>
                <w:spacing w:val="-17"/>
              </w:rPr>
              <w:t> </w:t>
            </w:r>
            <w:r>
              <w:rPr>
                <w:spacing w:val="-5"/>
              </w:rPr>
              <w:t>IKN</w:t>
            </w:r>
            <w:r>
              <w:rPr/>
              <w:tab/>
            </w:r>
            <w:r>
              <w:rPr>
                <w:spacing w:val="-5"/>
              </w:rPr>
              <w:t>74</w:t>
            </w:r>
          </w:hyperlink>
        </w:p>
        <w:p>
          <w:pPr>
            <w:pStyle w:val="TOC3"/>
            <w:numPr>
              <w:ilvl w:val="1"/>
              <w:numId w:val="5"/>
            </w:numPr>
            <w:tabs>
              <w:tab w:pos="1155" w:val="left" w:leader="none"/>
              <w:tab w:pos="8503" w:val="right" w:leader="dot"/>
            </w:tabs>
            <w:spacing w:line="240" w:lineRule="auto" w:before="143" w:after="0"/>
            <w:ind w:left="1155" w:right="0" w:hanging="368"/>
            <w:jc w:val="left"/>
          </w:pPr>
          <w:hyperlink w:history="true" w:anchor="_bookmark50">
            <w:r>
              <w:rPr/>
              <w:t>Dampak</w:t>
            </w:r>
            <w:r>
              <w:rPr>
                <w:spacing w:val="14"/>
              </w:rPr>
              <w:t> </w:t>
            </w:r>
            <w:r>
              <w:rPr/>
              <w:t>IKN</w:t>
            </w:r>
            <w:r>
              <w:rPr>
                <w:spacing w:val="10"/>
              </w:rPr>
              <w:t> </w:t>
            </w:r>
            <w:r>
              <w:rPr/>
              <w:t>bagi</w:t>
            </w:r>
            <w:r>
              <w:rPr>
                <w:spacing w:val="16"/>
              </w:rPr>
              <w:t> </w:t>
            </w:r>
            <w:r>
              <w:rPr/>
              <w:t>Kabupaten</w:t>
            </w:r>
            <w:r>
              <w:rPr>
                <w:spacing w:val="15"/>
              </w:rPr>
              <w:t> </w:t>
            </w:r>
            <w:r>
              <w:rPr/>
              <w:t>Kutai</w:t>
            </w:r>
            <w:r>
              <w:rPr>
                <w:spacing w:val="14"/>
              </w:rPr>
              <w:t> </w:t>
            </w:r>
            <w:r>
              <w:rPr>
                <w:spacing w:val="-2"/>
              </w:rPr>
              <w:t>Kartanegara</w:t>
            </w:r>
            <w:r>
              <w:rPr/>
              <w:tab/>
            </w:r>
            <w:r>
              <w:rPr>
                <w:spacing w:val="-5"/>
              </w:rPr>
              <w:t>75</w:t>
            </w:r>
          </w:hyperlink>
        </w:p>
        <w:p>
          <w:pPr>
            <w:pStyle w:val="TOC4"/>
            <w:numPr>
              <w:ilvl w:val="2"/>
              <w:numId w:val="5"/>
            </w:numPr>
            <w:tabs>
              <w:tab w:pos="1450" w:val="left" w:leader="none"/>
              <w:tab w:pos="8498" w:val="right" w:leader="dot"/>
            </w:tabs>
            <w:spacing w:line="240" w:lineRule="auto" w:before="142" w:after="0"/>
            <w:ind w:left="1450" w:right="0" w:hanging="481"/>
            <w:jc w:val="left"/>
          </w:pPr>
          <w:hyperlink w:history="true" w:anchor="_bookmark51">
            <w:r>
              <w:rPr/>
              <w:t>Dampak</w:t>
            </w:r>
            <w:r>
              <w:rPr>
                <w:spacing w:val="-17"/>
              </w:rPr>
              <w:t> </w:t>
            </w:r>
            <w:r>
              <w:rPr>
                <w:spacing w:val="-2"/>
              </w:rPr>
              <w:t>Politik</w:t>
            </w:r>
            <w:r>
              <w:rPr/>
              <w:tab/>
            </w:r>
            <w:r>
              <w:rPr>
                <w:spacing w:val="-5"/>
              </w:rPr>
              <w:t>75</w:t>
            </w:r>
          </w:hyperlink>
        </w:p>
        <w:p>
          <w:pPr>
            <w:pStyle w:val="TOC4"/>
            <w:numPr>
              <w:ilvl w:val="2"/>
              <w:numId w:val="5"/>
            </w:numPr>
            <w:tabs>
              <w:tab w:pos="1508" w:val="left" w:leader="none"/>
              <w:tab w:pos="8498" w:val="right" w:leader="dot"/>
            </w:tabs>
            <w:spacing w:line="240" w:lineRule="auto" w:before="142" w:after="0"/>
            <w:ind w:left="1508" w:right="0" w:hanging="539"/>
            <w:jc w:val="left"/>
          </w:pPr>
          <w:hyperlink w:history="true" w:anchor="_bookmark54">
            <w:r>
              <w:rPr>
                <w:spacing w:val="-2"/>
              </w:rPr>
              <w:t>Dampak</w:t>
            </w:r>
            <w:r>
              <w:rPr>
                <w:spacing w:val="-10"/>
              </w:rPr>
              <w:t> </w:t>
            </w:r>
            <w:r>
              <w:rPr>
                <w:spacing w:val="-2"/>
              </w:rPr>
              <w:t>Ekonomi</w:t>
            </w:r>
            <w:r>
              <w:rPr/>
              <w:tab/>
            </w:r>
            <w:r>
              <w:rPr>
                <w:spacing w:val="-5"/>
              </w:rPr>
              <w:t>91</w:t>
            </w:r>
          </w:hyperlink>
        </w:p>
        <w:p>
          <w:pPr>
            <w:pStyle w:val="TOC4"/>
            <w:numPr>
              <w:ilvl w:val="2"/>
              <w:numId w:val="5"/>
            </w:numPr>
            <w:tabs>
              <w:tab w:pos="1508" w:val="left" w:leader="none"/>
              <w:tab w:pos="8498" w:val="right" w:leader="dot"/>
            </w:tabs>
            <w:spacing w:line="240" w:lineRule="auto" w:before="142" w:after="0"/>
            <w:ind w:left="1508" w:right="0" w:hanging="539"/>
            <w:jc w:val="left"/>
          </w:pPr>
          <w:hyperlink w:history="true" w:anchor="_bookmark57">
            <w:r>
              <w:rPr/>
              <w:t>Dampak</w:t>
            </w:r>
            <w:r>
              <w:rPr>
                <w:spacing w:val="-17"/>
              </w:rPr>
              <w:t> </w:t>
            </w:r>
            <w:r>
              <w:rPr>
                <w:spacing w:val="-2"/>
              </w:rPr>
              <w:t>Sosial</w:t>
            </w:r>
            <w:r>
              <w:rPr/>
              <w:tab/>
            </w:r>
            <w:r>
              <w:rPr>
                <w:spacing w:val="-5"/>
              </w:rPr>
              <w:t>104</w:t>
            </w:r>
          </w:hyperlink>
        </w:p>
        <w:p>
          <w:pPr>
            <w:pStyle w:val="TOC4"/>
            <w:numPr>
              <w:ilvl w:val="2"/>
              <w:numId w:val="5"/>
            </w:numPr>
            <w:tabs>
              <w:tab w:pos="1518" w:val="left" w:leader="none"/>
              <w:tab w:pos="8498" w:val="right" w:leader="dot"/>
            </w:tabs>
            <w:spacing w:line="240" w:lineRule="auto" w:before="137" w:after="0"/>
            <w:ind w:left="1518" w:right="0" w:hanging="549"/>
            <w:jc w:val="left"/>
          </w:pPr>
          <w:hyperlink w:history="true" w:anchor="_bookmark58">
            <w:r>
              <w:rPr>
                <w:spacing w:val="-2"/>
              </w:rPr>
              <w:t>Dampak</w:t>
            </w:r>
            <w:r>
              <w:rPr>
                <w:spacing w:val="-10"/>
              </w:rPr>
              <w:t> </w:t>
            </w:r>
            <w:r>
              <w:rPr>
                <w:spacing w:val="-2"/>
              </w:rPr>
              <w:t>Teknologi</w:t>
            </w:r>
            <w:r>
              <w:rPr/>
              <w:tab/>
            </w:r>
            <w:r>
              <w:rPr>
                <w:spacing w:val="-5"/>
              </w:rPr>
              <w:t>109</w:t>
            </w:r>
          </w:hyperlink>
        </w:p>
        <w:p>
          <w:pPr>
            <w:pStyle w:val="TOC4"/>
            <w:numPr>
              <w:ilvl w:val="2"/>
              <w:numId w:val="5"/>
            </w:numPr>
            <w:tabs>
              <w:tab w:pos="1518" w:val="left" w:leader="none"/>
              <w:tab w:pos="8498" w:val="right" w:leader="dot"/>
            </w:tabs>
            <w:spacing w:line="240" w:lineRule="auto" w:before="142" w:after="0"/>
            <w:ind w:left="1518" w:right="0" w:hanging="549"/>
            <w:jc w:val="left"/>
          </w:pPr>
          <w:hyperlink w:history="true" w:anchor="_bookmark59">
            <w:r>
              <w:rPr/>
              <w:t>Dampak</w:t>
            </w:r>
            <w:r>
              <w:rPr>
                <w:spacing w:val="35"/>
              </w:rPr>
              <w:t> </w:t>
            </w:r>
            <w:r>
              <w:rPr>
                <w:spacing w:val="-2"/>
              </w:rPr>
              <w:t>Lingkungan</w:t>
            </w:r>
            <w:r>
              <w:rPr/>
              <w:tab/>
            </w:r>
            <w:r>
              <w:rPr>
                <w:spacing w:val="-5"/>
              </w:rPr>
              <w:t>112</w:t>
            </w:r>
          </w:hyperlink>
        </w:p>
        <w:p>
          <w:pPr>
            <w:pStyle w:val="TOC4"/>
            <w:numPr>
              <w:ilvl w:val="2"/>
              <w:numId w:val="5"/>
            </w:numPr>
            <w:tabs>
              <w:tab w:pos="1518" w:val="left" w:leader="none"/>
              <w:tab w:pos="8498" w:val="right" w:leader="dot"/>
            </w:tabs>
            <w:spacing w:line="240" w:lineRule="auto" w:before="142" w:after="0"/>
            <w:ind w:left="1518" w:right="0" w:hanging="549"/>
            <w:jc w:val="left"/>
          </w:pPr>
          <w:hyperlink w:history="true" w:anchor="_bookmark75">
            <w:r>
              <w:rPr/>
              <w:t>Dampak</w:t>
            </w:r>
            <w:r>
              <w:rPr>
                <w:spacing w:val="-17"/>
              </w:rPr>
              <w:t> </w:t>
            </w:r>
            <w:r>
              <w:rPr>
                <w:spacing w:val="-2"/>
              </w:rPr>
              <w:t>Regulasi</w:t>
            </w:r>
            <w:r>
              <w:rPr/>
              <w:tab/>
            </w:r>
            <w:r>
              <w:rPr>
                <w:spacing w:val="-5"/>
              </w:rPr>
              <w:t>130</w:t>
            </w:r>
          </w:hyperlink>
        </w:p>
        <w:p>
          <w:pPr>
            <w:pStyle w:val="TOC1"/>
            <w:tabs>
              <w:tab w:pos="8508" w:val="right" w:leader="dot"/>
            </w:tabs>
          </w:pPr>
          <w:hyperlink w:history="true" w:anchor="_bookmark78">
            <w:r>
              <w:rPr/>
              <w:t>BAB</w:t>
            </w:r>
            <w:r>
              <w:rPr>
                <w:spacing w:val="-17"/>
              </w:rPr>
              <w:t> </w:t>
            </w:r>
            <w:r>
              <w:rPr/>
              <w:t>VI</w:t>
            </w:r>
            <w:r>
              <w:rPr>
                <w:spacing w:val="-15"/>
              </w:rPr>
              <w:t> </w:t>
            </w:r>
            <w:r>
              <w:rPr>
                <w:spacing w:val="-2"/>
              </w:rPr>
              <w:t>PENUTUP</w:t>
            </w:r>
            <w:r>
              <w:rPr/>
              <w:tab/>
            </w:r>
            <w:r>
              <w:rPr>
                <w:spacing w:val="-5"/>
              </w:rPr>
              <w:t>140</w:t>
            </w:r>
          </w:hyperlink>
        </w:p>
        <w:p>
          <w:pPr>
            <w:pStyle w:val="TOC3"/>
            <w:numPr>
              <w:ilvl w:val="1"/>
              <w:numId w:val="6"/>
            </w:numPr>
            <w:tabs>
              <w:tab w:pos="1102" w:val="left" w:leader="none"/>
              <w:tab w:pos="8508" w:val="right" w:leader="dot"/>
            </w:tabs>
            <w:spacing w:line="240" w:lineRule="auto" w:before="142" w:after="0"/>
            <w:ind w:left="1102" w:right="0" w:hanging="315"/>
            <w:jc w:val="left"/>
          </w:pPr>
          <w:hyperlink w:history="true" w:anchor="_bookmark79">
            <w:r>
              <w:rPr>
                <w:spacing w:val="-2"/>
              </w:rPr>
              <w:t>Kesimpulan</w:t>
            </w:r>
            <w:r>
              <w:rPr/>
              <w:tab/>
            </w:r>
            <w:r>
              <w:rPr>
                <w:spacing w:val="-5"/>
              </w:rPr>
              <w:t>140</w:t>
            </w:r>
          </w:hyperlink>
        </w:p>
        <w:p>
          <w:pPr>
            <w:pStyle w:val="TOC3"/>
            <w:numPr>
              <w:ilvl w:val="1"/>
              <w:numId w:val="6"/>
            </w:numPr>
            <w:tabs>
              <w:tab w:pos="1156" w:val="left" w:leader="none"/>
              <w:tab w:pos="8508" w:val="right" w:leader="dot"/>
            </w:tabs>
            <w:spacing w:line="240" w:lineRule="auto" w:before="142" w:after="0"/>
            <w:ind w:left="1156" w:right="0" w:hanging="369"/>
            <w:jc w:val="left"/>
          </w:pPr>
          <w:hyperlink w:history="true" w:anchor="_bookmark80">
            <w:r>
              <w:rPr>
                <w:spacing w:val="-2"/>
              </w:rPr>
              <w:t>Rekomendasi</w:t>
            </w:r>
            <w:r>
              <w:rPr/>
              <w:tab/>
            </w:r>
            <w:r>
              <w:rPr>
                <w:spacing w:val="-5"/>
              </w:rPr>
              <w:t>141</w:t>
            </w:r>
          </w:hyperlink>
        </w:p>
        <w:p>
          <w:pPr>
            <w:pStyle w:val="TOC1"/>
            <w:tabs>
              <w:tab w:pos="8508" w:val="right" w:leader="dot"/>
            </w:tabs>
          </w:pPr>
          <w:hyperlink w:history="true" w:anchor="_bookmark81">
            <w:r>
              <w:rPr/>
              <w:t>DAFTAR</w:t>
            </w:r>
            <w:r>
              <w:rPr>
                <w:spacing w:val="-13"/>
              </w:rPr>
              <w:t> </w:t>
            </w:r>
            <w:r>
              <w:rPr>
                <w:spacing w:val="-2"/>
              </w:rPr>
              <w:t>PUSTAKA</w:t>
            </w:r>
            <w:r>
              <w:rPr/>
              <w:tab/>
            </w:r>
            <w:r>
              <w:rPr>
                <w:spacing w:val="-5"/>
              </w:rPr>
              <w:t>143</w:t>
            </w:r>
          </w:hyperlink>
        </w:p>
      </w:sdtContent>
    </w:sdt>
    <w:p>
      <w:pPr>
        <w:pStyle w:val="TOC1"/>
        <w:spacing w:after="0"/>
        <w:sectPr>
          <w:type w:val="continuous"/>
          <w:pgSz w:w="11910" w:h="16840"/>
          <w:pgMar w:header="0" w:footer="1447" w:top="1582" w:bottom="1798" w:left="1700" w:right="992"/>
        </w:sectPr>
      </w:pPr>
    </w:p>
    <w:p>
      <w:pPr>
        <w:pStyle w:val="Heading1"/>
        <w:ind w:left="1487"/>
        <w:rPr>
          <w:rFonts w:ascii="Segoe UI"/>
        </w:rPr>
      </w:pPr>
      <w:bookmarkStart w:name="_bookmark3" w:id="4"/>
      <w:bookmarkEnd w:id="4"/>
      <w:r>
        <w:rPr>
          <w:b w:val="0"/>
        </w:rPr>
      </w:r>
      <w:r>
        <w:rPr>
          <w:rFonts w:ascii="Segoe UI"/>
          <w:spacing w:val="-2"/>
        </w:rPr>
        <w:t>DAFTAR</w:t>
      </w:r>
      <w:r>
        <w:rPr>
          <w:rFonts w:ascii="Segoe UI"/>
          <w:spacing w:val="-8"/>
        </w:rPr>
        <w:t> </w:t>
      </w:r>
      <w:r>
        <w:rPr>
          <w:rFonts w:ascii="Segoe UI"/>
          <w:spacing w:val="-2"/>
        </w:rPr>
        <w:t>GAMBAR</w:t>
      </w:r>
    </w:p>
    <w:p>
      <w:pPr>
        <w:pStyle w:val="BodyText"/>
        <w:spacing w:before="78"/>
        <w:jc w:val="left"/>
        <w:rPr>
          <w:b/>
          <w:sz w:val="28"/>
        </w:rPr>
      </w:pPr>
    </w:p>
    <w:p>
      <w:pPr>
        <w:tabs>
          <w:tab w:pos="8263" w:val="left" w:leader="dot"/>
        </w:tabs>
        <w:spacing w:before="0"/>
        <w:ind w:left="566" w:right="0" w:firstLine="0"/>
        <w:jc w:val="left"/>
        <w:rPr>
          <w:rFonts w:ascii="Lucida Sans Unicode"/>
          <w:sz w:val="20"/>
        </w:rPr>
      </w:pPr>
      <w:hyperlink w:history="true" w:anchor="_bookmark31">
        <w:r>
          <w:rPr>
            <w:rFonts w:ascii="Lucida Sans Unicode"/>
            <w:spacing w:val="-2"/>
            <w:sz w:val="20"/>
          </w:rPr>
          <w:t>Gambar</w:t>
        </w:r>
        <w:r>
          <w:rPr>
            <w:rFonts w:ascii="Lucida Sans Unicode"/>
            <w:spacing w:val="-5"/>
            <w:sz w:val="20"/>
          </w:rPr>
          <w:t> </w:t>
        </w:r>
        <w:r>
          <w:rPr>
            <w:rFonts w:ascii="Lucida Sans Unicode"/>
            <w:spacing w:val="-2"/>
            <w:sz w:val="20"/>
          </w:rPr>
          <w:t>1.</w:t>
        </w:r>
        <w:r>
          <w:rPr>
            <w:rFonts w:ascii="Lucida Sans Unicode"/>
            <w:spacing w:val="-8"/>
            <w:sz w:val="20"/>
          </w:rPr>
          <w:t> </w:t>
        </w:r>
        <w:r>
          <w:rPr>
            <w:rFonts w:ascii="Lucida Sans Unicode"/>
            <w:spacing w:val="-2"/>
            <w:sz w:val="20"/>
          </w:rPr>
          <w:t>Kerangka</w:t>
        </w:r>
        <w:r>
          <w:rPr>
            <w:rFonts w:ascii="Lucida Sans Unicode"/>
            <w:spacing w:val="-10"/>
            <w:sz w:val="20"/>
          </w:rPr>
          <w:t> </w:t>
        </w:r>
        <w:r>
          <w:rPr>
            <w:rFonts w:ascii="Lucida Sans Unicode"/>
            <w:spacing w:val="-2"/>
            <w:sz w:val="20"/>
          </w:rPr>
          <w:t>Pikir</w:t>
        </w:r>
        <w:r>
          <w:rPr>
            <w:rFonts w:ascii="Lucida Sans Unicode"/>
            <w:sz w:val="20"/>
          </w:rPr>
          <w:tab/>
        </w:r>
        <w:r>
          <w:rPr>
            <w:rFonts w:ascii="Lucida Sans Unicode"/>
            <w:spacing w:val="-7"/>
            <w:sz w:val="20"/>
          </w:rPr>
          <w:t>57</w:t>
        </w:r>
      </w:hyperlink>
    </w:p>
    <w:p>
      <w:pPr>
        <w:tabs>
          <w:tab w:pos="8249" w:val="left" w:leader="dot"/>
        </w:tabs>
        <w:spacing w:before="38"/>
        <w:ind w:left="566" w:right="0" w:firstLine="0"/>
        <w:jc w:val="left"/>
        <w:rPr>
          <w:rFonts w:ascii="Lucida Sans Unicode"/>
          <w:sz w:val="20"/>
        </w:rPr>
      </w:pPr>
      <w:hyperlink w:history="true" w:anchor="_bookmark35">
        <w:r>
          <w:rPr>
            <w:rFonts w:ascii="Lucida Sans Unicode"/>
            <w:w w:val="105"/>
            <w:sz w:val="20"/>
          </w:rPr>
          <w:t>Gambar</w:t>
        </w:r>
        <w:r>
          <w:rPr>
            <w:rFonts w:ascii="Lucida Sans Unicode"/>
            <w:spacing w:val="-16"/>
            <w:w w:val="105"/>
            <w:sz w:val="20"/>
          </w:rPr>
          <w:t> </w:t>
        </w:r>
        <w:r>
          <w:rPr>
            <w:rFonts w:ascii="Lucida Sans Unicode"/>
            <w:w w:val="105"/>
            <w:sz w:val="20"/>
          </w:rPr>
          <w:t>2.</w:t>
        </w:r>
        <w:r>
          <w:rPr>
            <w:rFonts w:ascii="Lucida Sans Unicode"/>
            <w:spacing w:val="-13"/>
            <w:w w:val="105"/>
            <w:sz w:val="20"/>
          </w:rPr>
          <w:t> </w:t>
        </w:r>
        <w:r>
          <w:rPr>
            <w:rFonts w:ascii="Lucida Sans Unicode"/>
            <w:w w:val="105"/>
            <w:sz w:val="20"/>
          </w:rPr>
          <w:t>Peta</w:t>
        </w:r>
        <w:r>
          <w:rPr>
            <w:rFonts w:ascii="Lucida Sans Unicode"/>
            <w:spacing w:val="-17"/>
            <w:w w:val="105"/>
            <w:sz w:val="20"/>
          </w:rPr>
          <w:t> </w:t>
        </w:r>
        <w:r>
          <w:rPr>
            <w:rFonts w:ascii="Lucida Sans Unicode"/>
            <w:w w:val="105"/>
            <w:sz w:val="20"/>
          </w:rPr>
          <w:t>Wilayah</w:t>
        </w:r>
        <w:r>
          <w:rPr>
            <w:rFonts w:ascii="Lucida Sans Unicode"/>
            <w:spacing w:val="-17"/>
            <w:w w:val="105"/>
            <w:sz w:val="20"/>
          </w:rPr>
          <w:t> </w:t>
        </w:r>
        <w:r>
          <w:rPr>
            <w:rFonts w:ascii="Lucida Sans Unicode"/>
            <w:w w:val="105"/>
            <w:sz w:val="20"/>
          </w:rPr>
          <w:t>Kabupaten</w:t>
        </w:r>
        <w:r>
          <w:rPr>
            <w:rFonts w:ascii="Lucida Sans Unicode"/>
            <w:spacing w:val="-14"/>
            <w:w w:val="105"/>
            <w:sz w:val="20"/>
          </w:rPr>
          <w:t> </w:t>
        </w:r>
        <w:r>
          <w:rPr>
            <w:rFonts w:ascii="Lucida Sans Unicode"/>
            <w:w w:val="105"/>
            <w:sz w:val="20"/>
          </w:rPr>
          <w:t>Kutai</w:t>
        </w:r>
        <w:r>
          <w:rPr>
            <w:rFonts w:ascii="Lucida Sans Unicode"/>
            <w:spacing w:val="-15"/>
            <w:w w:val="105"/>
            <w:sz w:val="20"/>
          </w:rPr>
          <w:t> </w:t>
        </w:r>
        <w:r>
          <w:rPr>
            <w:rFonts w:ascii="Lucida Sans Unicode"/>
            <w:w w:val="105"/>
            <w:sz w:val="20"/>
          </w:rPr>
          <w:t>Kartanegara</w:t>
        </w:r>
        <w:r>
          <w:rPr>
            <w:rFonts w:ascii="Lucida Sans Unicode"/>
            <w:spacing w:val="-14"/>
            <w:w w:val="105"/>
            <w:sz w:val="20"/>
          </w:rPr>
          <w:t> </w:t>
        </w:r>
        <w:r>
          <w:rPr>
            <w:rFonts w:ascii="Lucida Sans Unicode"/>
            <w:w w:val="105"/>
            <w:sz w:val="20"/>
          </w:rPr>
          <w:t>Sebelum</w:t>
        </w:r>
        <w:r>
          <w:rPr>
            <w:rFonts w:ascii="Lucida Sans Unicode"/>
            <w:spacing w:val="-13"/>
            <w:w w:val="105"/>
            <w:sz w:val="20"/>
          </w:rPr>
          <w:t> </w:t>
        </w:r>
        <w:r>
          <w:rPr>
            <w:rFonts w:ascii="Lucida Sans Unicode"/>
            <w:spacing w:val="-5"/>
            <w:w w:val="105"/>
            <w:sz w:val="20"/>
          </w:rPr>
          <w:t>IKN</w:t>
        </w:r>
        <w:r>
          <w:rPr>
            <w:rFonts w:ascii="Lucida Sans Unicode"/>
            <w:sz w:val="20"/>
          </w:rPr>
          <w:tab/>
        </w:r>
        <w:r>
          <w:rPr>
            <w:rFonts w:ascii="Lucida Sans Unicode"/>
            <w:spacing w:val="-5"/>
            <w:w w:val="105"/>
            <w:sz w:val="20"/>
          </w:rPr>
          <w:t>60</w:t>
        </w:r>
      </w:hyperlink>
    </w:p>
    <w:p>
      <w:pPr>
        <w:tabs>
          <w:tab w:pos="8254" w:val="left" w:leader="dot"/>
        </w:tabs>
        <w:spacing w:line="266" w:lineRule="auto" w:before="38"/>
        <w:ind w:left="566" w:right="711" w:firstLine="0"/>
        <w:jc w:val="left"/>
        <w:rPr>
          <w:rFonts w:ascii="Lucida Sans Unicode"/>
          <w:sz w:val="20"/>
        </w:rPr>
      </w:pPr>
      <w:hyperlink w:history="true" w:anchor="_bookmark37">
        <w:r>
          <w:rPr>
            <w:rFonts w:ascii="Lucida Sans Unicode"/>
            <w:sz w:val="20"/>
          </w:rPr>
          <w:t>Gambar 3. Wilayah Kabupaten Kutai Kartanegara yang Diambil IKN Pasca UU</w:t>
        </w:r>
      </w:hyperlink>
      <w:r>
        <w:rPr>
          <w:rFonts w:ascii="Lucida Sans Unicode"/>
          <w:sz w:val="20"/>
        </w:rPr>
        <w:t> </w:t>
      </w:r>
      <w:hyperlink w:history="true" w:anchor="_bookmark37">
        <w:r>
          <w:rPr>
            <w:rFonts w:ascii="Lucida Sans Unicode"/>
            <w:spacing w:val="-2"/>
            <w:sz w:val="20"/>
          </w:rPr>
          <w:t>Nomor</w:t>
        </w:r>
        <w:r>
          <w:rPr>
            <w:rFonts w:ascii="Lucida Sans Unicode"/>
            <w:spacing w:val="-14"/>
            <w:sz w:val="20"/>
          </w:rPr>
          <w:t> </w:t>
        </w:r>
        <w:r>
          <w:rPr>
            <w:rFonts w:ascii="Lucida Sans Unicode"/>
            <w:spacing w:val="-2"/>
            <w:sz w:val="20"/>
          </w:rPr>
          <w:t>3</w:t>
        </w:r>
        <w:r>
          <w:rPr>
            <w:rFonts w:ascii="Lucida Sans Unicode"/>
            <w:spacing w:val="-8"/>
            <w:sz w:val="20"/>
          </w:rPr>
          <w:t> </w:t>
        </w:r>
        <w:r>
          <w:rPr>
            <w:rFonts w:ascii="Lucida Sans Unicode"/>
            <w:spacing w:val="-2"/>
            <w:sz w:val="20"/>
          </w:rPr>
          <w:t>Tahun</w:t>
        </w:r>
        <w:r>
          <w:rPr>
            <w:rFonts w:ascii="Lucida Sans Unicode"/>
            <w:spacing w:val="-11"/>
            <w:sz w:val="20"/>
          </w:rPr>
          <w:t> </w:t>
        </w:r>
        <w:r>
          <w:rPr>
            <w:rFonts w:ascii="Lucida Sans Unicode"/>
            <w:spacing w:val="-4"/>
            <w:sz w:val="20"/>
          </w:rPr>
          <w:t>2022</w:t>
        </w:r>
        <w:r>
          <w:rPr>
            <w:rFonts w:ascii="Lucida Sans Unicode"/>
            <w:sz w:val="20"/>
          </w:rPr>
          <w:tab/>
        </w:r>
        <w:r>
          <w:rPr>
            <w:rFonts w:ascii="Lucida Sans Unicode"/>
            <w:spacing w:val="-5"/>
            <w:sz w:val="20"/>
          </w:rPr>
          <w:t>63</w:t>
        </w:r>
      </w:hyperlink>
    </w:p>
    <w:p>
      <w:pPr>
        <w:tabs>
          <w:tab w:pos="8249" w:val="left" w:leader="dot"/>
        </w:tabs>
        <w:spacing w:before="4"/>
        <w:ind w:left="566" w:right="0" w:firstLine="0"/>
        <w:jc w:val="left"/>
        <w:rPr>
          <w:rFonts w:ascii="Lucida Sans Unicode"/>
          <w:sz w:val="20"/>
        </w:rPr>
      </w:pPr>
      <w:hyperlink w:history="true" w:anchor="_bookmark38">
        <w:r>
          <w:rPr>
            <w:rFonts w:ascii="Lucida Sans Unicode"/>
            <w:sz w:val="20"/>
          </w:rPr>
          <w:t>Gambar</w:t>
        </w:r>
        <w:r>
          <w:rPr>
            <w:rFonts w:ascii="Lucida Sans Unicode"/>
            <w:spacing w:val="-6"/>
            <w:sz w:val="20"/>
          </w:rPr>
          <w:t> </w:t>
        </w:r>
        <w:r>
          <w:rPr>
            <w:rFonts w:ascii="Lucida Sans Unicode"/>
            <w:sz w:val="20"/>
          </w:rPr>
          <w:t>4.</w:t>
        </w:r>
        <w:r>
          <w:rPr>
            <w:rFonts w:ascii="Lucida Sans Unicode"/>
            <w:spacing w:val="-10"/>
            <w:sz w:val="20"/>
          </w:rPr>
          <w:t> </w:t>
        </w:r>
        <w:r>
          <w:rPr>
            <w:rFonts w:ascii="Lucida Sans Unicode"/>
            <w:sz w:val="20"/>
          </w:rPr>
          <w:t>Cakupan</w:t>
        </w:r>
        <w:r>
          <w:rPr>
            <w:rFonts w:ascii="Lucida Sans Unicode"/>
            <w:spacing w:val="-9"/>
            <w:sz w:val="20"/>
          </w:rPr>
          <w:t> </w:t>
        </w:r>
        <w:r>
          <w:rPr>
            <w:rFonts w:ascii="Lucida Sans Unicode"/>
            <w:sz w:val="20"/>
          </w:rPr>
          <w:t>Wilayah</w:t>
        </w:r>
        <w:r>
          <w:rPr>
            <w:rFonts w:ascii="Lucida Sans Unicode"/>
            <w:spacing w:val="-10"/>
            <w:sz w:val="20"/>
          </w:rPr>
          <w:t> </w:t>
        </w:r>
        <w:r>
          <w:rPr>
            <w:rFonts w:ascii="Lucida Sans Unicode"/>
            <w:sz w:val="20"/>
          </w:rPr>
          <w:t>IKN</w:t>
        </w:r>
        <w:r>
          <w:rPr>
            <w:rFonts w:ascii="Lucida Sans Unicode"/>
            <w:spacing w:val="-9"/>
            <w:sz w:val="20"/>
          </w:rPr>
          <w:t> </w:t>
        </w:r>
        <w:r>
          <w:rPr>
            <w:rFonts w:ascii="Lucida Sans Unicode"/>
            <w:sz w:val="20"/>
          </w:rPr>
          <w:t>Menurut</w:t>
        </w:r>
        <w:r>
          <w:rPr>
            <w:rFonts w:ascii="Lucida Sans Unicode"/>
            <w:spacing w:val="-4"/>
            <w:sz w:val="20"/>
          </w:rPr>
          <w:t> </w:t>
        </w:r>
        <w:r>
          <w:rPr>
            <w:rFonts w:ascii="Lucida Sans Unicode"/>
            <w:sz w:val="20"/>
          </w:rPr>
          <w:t>UU</w:t>
        </w:r>
        <w:r>
          <w:rPr>
            <w:rFonts w:ascii="Lucida Sans Unicode"/>
            <w:spacing w:val="-10"/>
            <w:sz w:val="20"/>
          </w:rPr>
          <w:t> </w:t>
        </w:r>
        <w:r>
          <w:rPr>
            <w:rFonts w:ascii="Lucida Sans Unicode"/>
            <w:sz w:val="20"/>
          </w:rPr>
          <w:t>Nomor</w:t>
        </w:r>
        <w:r>
          <w:rPr>
            <w:rFonts w:ascii="Lucida Sans Unicode"/>
            <w:spacing w:val="-9"/>
            <w:sz w:val="20"/>
          </w:rPr>
          <w:t> </w:t>
        </w:r>
        <w:r>
          <w:rPr>
            <w:rFonts w:ascii="Lucida Sans Unicode"/>
            <w:sz w:val="20"/>
          </w:rPr>
          <w:t>21</w:t>
        </w:r>
        <w:r>
          <w:rPr>
            <w:rFonts w:ascii="Lucida Sans Unicode"/>
            <w:spacing w:val="-7"/>
            <w:sz w:val="20"/>
          </w:rPr>
          <w:t> </w:t>
        </w:r>
        <w:r>
          <w:rPr>
            <w:rFonts w:ascii="Lucida Sans Unicode"/>
            <w:sz w:val="20"/>
          </w:rPr>
          <w:t>Tahun</w:t>
        </w:r>
        <w:r>
          <w:rPr>
            <w:rFonts w:ascii="Lucida Sans Unicode"/>
            <w:spacing w:val="-9"/>
            <w:sz w:val="20"/>
          </w:rPr>
          <w:t> </w:t>
        </w:r>
        <w:r>
          <w:rPr>
            <w:rFonts w:ascii="Lucida Sans Unicode"/>
            <w:spacing w:val="-4"/>
            <w:sz w:val="20"/>
          </w:rPr>
          <w:t>2023</w:t>
        </w:r>
        <w:r>
          <w:rPr>
            <w:rFonts w:ascii="Lucida Sans Unicode"/>
            <w:sz w:val="20"/>
          </w:rPr>
          <w:tab/>
        </w:r>
        <w:r>
          <w:rPr>
            <w:rFonts w:ascii="Lucida Sans Unicode"/>
            <w:spacing w:val="-5"/>
            <w:sz w:val="20"/>
          </w:rPr>
          <w:t>65</w:t>
        </w:r>
      </w:hyperlink>
    </w:p>
    <w:p>
      <w:pPr>
        <w:tabs>
          <w:tab w:pos="8244" w:val="left" w:leader="dot"/>
        </w:tabs>
        <w:spacing w:line="268" w:lineRule="auto" w:before="39"/>
        <w:ind w:left="566" w:right="720" w:firstLine="0"/>
        <w:jc w:val="left"/>
        <w:rPr>
          <w:rFonts w:ascii="Lucida Sans Unicode"/>
          <w:sz w:val="20"/>
        </w:rPr>
      </w:pPr>
      <w:hyperlink w:history="true" w:anchor="_bookmark39">
        <w:r>
          <w:rPr>
            <w:rFonts w:ascii="Lucida Sans Unicode"/>
            <w:sz w:val="20"/>
          </w:rPr>
          <w:t>Gambar 5. Wilayah Kabupaten Kutai Kartanegara yang Diambil IKN Pasca UU</w:t>
        </w:r>
      </w:hyperlink>
      <w:r>
        <w:rPr>
          <w:rFonts w:ascii="Lucida Sans Unicode"/>
          <w:sz w:val="20"/>
        </w:rPr>
        <w:t> </w:t>
      </w:r>
      <w:hyperlink w:history="true" w:anchor="_bookmark39">
        <w:r>
          <w:rPr>
            <w:rFonts w:ascii="Lucida Sans Unicode"/>
            <w:w w:val="90"/>
            <w:sz w:val="20"/>
          </w:rPr>
          <w:t>Nomor</w:t>
        </w:r>
        <w:r>
          <w:rPr>
            <w:rFonts w:ascii="Lucida Sans Unicode"/>
            <w:spacing w:val="15"/>
            <w:sz w:val="20"/>
          </w:rPr>
          <w:t> </w:t>
        </w:r>
        <w:r>
          <w:rPr>
            <w:rFonts w:ascii="Lucida Sans Unicode"/>
            <w:w w:val="90"/>
            <w:sz w:val="20"/>
          </w:rPr>
          <w:t>21</w:t>
        </w:r>
        <w:r>
          <w:rPr>
            <w:rFonts w:ascii="Lucida Sans Unicode"/>
            <w:spacing w:val="14"/>
            <w:sz w:val="20"/>
          </w:rPr>
          <w:t> </w:t>
        </w:r>
        <w:r>
          <w:rPr>
            <w:rFonts w:ascii="Lucida Sans Unicode"/>
            <w:w w:val="90"/>
            <w:sz w:val="20"/>
          </w:rPr>
          <w:t>Tahun</w:t>
        </w:r>
        <w:r>
          <w:rPr>
            <w:rFonts w:ascii="Lucida Sans Unicode"/>
            <w:spacing w:val="16"/>
            <w:sz w:val="20"/>
          </w:rPr>
          <w:t> </w:t>
        </w:r>
        <w:r>
          <w:rPr>
            <w:rFonts w:ascii="Lucida Sans Unicode"/>
            <w:spacing w:val="-4"/>
            <w:w w:val="90"/>
            <w:sz w:val="20"/>
          </w:rPr>
          <w:t>2023</w:t>
        </w:r>
        <w:r>
          <w:rPr>
            <w:rFonts w:ascii="Lucida Sans Unicode"/>
            <w:sz w:val="20"/>
          </w:rPr>
          <w:tab/>
        </w:r>
        <w:r>
          <w:rPr>
            <w:rFonts w:ascii="Lucida Sans Unicode"/>
            <w:spacing w:val="-5"/>
            <w:sz w:val="20"/>
          </w:rPr>
          <w:t>66</w:t>
        </w:r>
      </w:hyperlink>
    </w:p>
    <w:p>
      <w:pPr>
        <w:tabs>
          <w:tab w:pos="8244" w:val="left" w:leader="dot"/>
        </w:tabs>
        <w:spacing w:line="305" w:lineRule="exact" w:before="0"/>
        <w:ind w:left="566" w:right="0" w:firstLine="0"/>
        <w:jc w:val="left"/>
        <w:rPr>
          <w:rFonts w:ascii="Lucida Sans Unicode"/>
          <w:sz w:val="20"/>
        </w:rPr>
      </w:pPr>
      <w:hyperlink w:history="true" w:anchor="_bookmark44">
        <w:r>
          <w:rPr>
            <w:rFonts w:ascii="Lucida Sans Unicode"/>
            <w:sz w:val="20"/>
          </w:rPr>
          <w:t>Gambar 6.</w:t>
        </w:r>
        <w:r>
          <w:rPr>
            <w:rFonts w:ascii="Lucida Sans Unicode"/>
            <w:spacing w:val="-3"/>
            <w:sz w:val="20"/>
          </w:rPr>
          <w:t> </w:t>
        </w:r>
        <w:r>
          <w:rPr>
            <w:rFonts w:ascii="Lucida Sans Unicode"/>
            <w:sz w:val="20"/>
          </w:rPr>
          <w:t>Distribusi</w:t>
        </w:r>
        <w:r>
          <w:rPr>
            <w:rFonts w:ascii="Lucida Sans Unicode"/>
            <w:spacing w:val="-3"/>
            <w:sz w:val="20"/>
          </w:rPr>
          <w:t> </w:t>
        </w:r>
        <w:r>
          <w:rPr>
            <w:rFonts w:ascii="Lucida Sans Unicode"/>
            <w:sz w:val="20"/>
          </w:rPr>
          <w:t>PDRB</w:t>
        </w:r>
        <w:r>
          <w:rPr>
            <w:rFonts w:ascii="Lucida Sans Unicode"/>
            <w:spacing w:val="1"/>
            <w:sz w:val="20"/>
          </w:rPr>
          <w:t> </w:t>
        </w:r>
        <w:r>
          <w:rPr>
            <w:rFonts w:ascii="Lucida Sans Unicode"/>
            <w:sz w:val="20"/>
          </w:rPr>
          <w:t>Kabupaten</w:t>
        </w:r>
        <w:r>
          <w:rPr>
            <w:rFonts w:ascii="Lucida Sans Unicode"/>
            <w:spacing w:val="2"/>
            <w:sz w:val="20"/>
          </w:rPr>
          <w:t> </w:t>
        </w:r>
        <w:r>
          <w:rPr>
            <w:rFonts w:ascii="Lucida Sans Unicode"/>
            <w:sz w:val="20"/>
          </w:rPr>
          <w:t>Kutai</w:t>
        </w:r>
        <w:r>
          <w:rPr>
            <w:rFonts w:ascii="Lucida Sans Unicode"/>
            <w:spacing w:val="2"/>
            <w:sz w:val="20"/>
          </w:rPr>
          <w:t> </w:t>
        </w:r>
        <w:r>
          <w:rPr>
            <w:rFonts w:ascii="Lucida Sans Unicode"/>
            <w:sz w:val="20"/>
          </w:rPr>
          <w:t>Kartanegara</w:t>
        </w:r>
        <w:r>
          <w:rPr>
            <w:rFonts w:ascii="Lucida Sans Unicode"/>
            <w:spacing w:val="1"/>
            <w:sz w:val="20"/>
          </w:rPr>
          <w:t> </w:t>
        </w:r>
        <w:r>
          <w:rPr>
            <w:rFonts w:ascii="Lucida Sans Unicode"/>
            <w:sz w:val="20"/>
          </w:rPr>
          <w:t>Tahun</w:t>
        </w:r>
        <w:r>
          <w:rPr>
            <w:rFonts w:ascii="Lucida Sans Unicode"/>
            <w:spacing w:val="-1"/>
            <w:sz w:val="20"/>
          </w:rPr>
          <w:t> </w:t>
        </w:r>
        <w:r>
          <w:rPr>
            <w:rFonts w:ascii="Lucida Sans Unicode"/>
            <w:spacing w:val="-4"/>
            <w:sz w:val="20"/>
          </w:rPr>
          <w:t>2022</w:t>
        </w:r>
        <w:r>
          <w:rPr>
            <w:rFonts w:ascii="Lucida Sans Unicode"/>
            <w:sz w:val="20"/>
          </w:rPr>
          <w:tab/>
        </w:r>
        <w:r>
          <w:rPr>
            <w:rFonts w:ascii="Lucida Sans Unicode"/>
            <w:spacing w:val="-5"/>
            <w:sz w:val="20"/>
          </w:rPr>
          <w:t>68</w:t>
        </w:r>
      </w:hyperlink>
    </w:p>
    <w:p>
      <w:pPr>
        <w:tabs>
          <w:tab w:pos="8244" w:val="left" w:leader="dot"/>
        </w:tabs>
        <w:spacing w:line="266" w:lineRule="auto" w:before="43"/>
        <w:ind w:left="566" w:right="720" w:firstLine="0"/>
        <w:jc w:val="left"/>
        <w:rPr>
          <w:rFonts w:ascii="Lucida Sans Unicode"/>
          <w:sz w:val="20"/>
        </w:rPr>
      </w:pPr>
      <w:hyperlink w:history="true" w:anchor="_bookmark45">
        <w:r>
          <w:rPr>
            <w:rFonts w:ascii="Lucida Sans Unicode"/>
            <w:w w:val="105"/>
            <w:sz w:val="20"/>
          </w:rPr>
          <w:t>Gambar 7. Komposisi Realisasi Pendapatan Kabupaten Kutai Kartanegara</w:t>
        </w:r>
      </w:hyperlink>
      <w:r>
        <w:rPr>
          <w:rFonts w:ascii="Lucida Sans Unicode"/>
          <w:w w:val="105"/>
          <w:sz w:val="20"/>
        </w:rPr>
        <w:t> </w:t>
      </w:r>
      <w:hyperlink w:history="true" w:anchor="_bookmark45">
        <w:r>
          <w:rPr>
            <w:rFonts w:ascii="Lucida Sans Unicode"/>
            <w:spacing w:val="-2"/>
            <w:sz w:val="20"/>
          </w:rPr>
          <w:t>Tahun</w:t>
        </w:r>
        <w:r>
          <w:rPr>
            <w:rFonts w:ascii="Lucida Sans Unicode"/>
            <w:spacing w:val="-14"/>
            <w:sz w:val="20"/>
          </w:rPr>
          <w:t> </w:t>
        </w:r>
        <w:r>
          <w:rPr>
            <w:rFonts w:ascii="Lucida Sans Unicode"/>
            <w:spacing w:val="-4"/>
            <w:sz w:val="20"/>
          </w:rPr>
          <w:t>2022</w:t>
        </w:r>
        <w:r>
          <w:rPr>
            <w:rFonts w:ascii="Lucida Sans Unicode"/>
            <w:sz w:val="20"/>
          </w:rPr>
          <w:tab/>
        </w:r>
        <w:r>
          <w:rPr>
            <w:rFonts w:ascii="Lucida Sans Unicode"/>
            <w:spacing w:val="-5"/>
            <w:sz w:val="20"/>
          </w:rPr>
          <w:t>69</w:t>
        </w:r>
      </w:hyperlink>
    </w:p>
    <w:p>
      <w:pPr>
        <w:tabs>
          <w:tab w:pos="8196" w:val="left" w:leader="dot"/>
        </w:tabs>
        <w:spacing w:before="0"/>
        <w:ind w:left="566" w:right="0" w:firstLine="0"/>
        <w:jc w:val="left"/>
        <w:rPr>
          <w:rFonts w:ascii="Lucida Sans Unicode"/>
          <w:sz w:val="20"/>
        </w:rPr>
      </w:pPr>
      <w:hyperlink w:history="true" w:anchor="_bookmark56">
        <w:r>
          <w:rPr>
            <w:rFonts w:ascii="Lucida Sans Unicode"/>
            <w:sz w:val="20"/>
          </w:rPr>
          <w:t>Gambar</w:t>
        </w:r>
        <w:r>
          <w:rPr>
            <w:rFonts w:ascii="Lucida Sans Unicode"/>
            <w:spacing w:val="15"/>
            <w:sz w:val="20"/>
          </w:rPr>
          <w:t> </w:t>
        </w:r>
        <w:r>
          <w:rPr>
            <w:rFonts w:ascii="Lucida Sans Unicode"/>
            <w:sz w:val="20"/>
          </w:rPr>
          <w:t>8.</w:t>
        </w:r>
        <w:r>
          <w:rPr>
            <w:rFonts w:ascii="Lucida Sans Unicode"/>
            <w:spacing w:val="16"/>
            <w:sz w:val="20"/>
          </w:rPr>
          <w:t> </w:t>
        </w:r>
        <w:r>
          <w:rPr>
            <w:rFonts w:ascii="Lucida Sans Unicode"/>
            <w:sz w:val="20"/>
          </w:rPr>
          <w:t>Maraknya</w:t>
        </w:r>
        <w:r>
          <w:rPr>
            <w:rFonts w:ascii="Lucida Sans Unicode"/>
            <w:spacing w:val="11"/>
            <w:sz w:val="20"/>
          </w:rPr>
          <w:t> </w:t>
        </w:r>
        <w:r>
          <w:rPr>
            <w:rFonts w:ascii="Lucida Sans Unicode"/>
            <w:sz w:val="20"/>
          </w:rPr>
          <w:t>Penjualan</w:t>
        </w:r>
        <w:r>
          <w:rPr>
            <w:rFonts w:ascii="Lucida Sans Unicode"/>
            <w:spacing w:val="13"/>
            <w:sz w:val="20"/>
          </w:rPr>
          <w:t> </w:t>
        </w:r>
        <w:r>
          <w:rPr>
            <w:rFonts w:ascii="Lucida Sans Unicode"/>
            <w:spacing w:val="-4"/>
            <w:sz w:val="20"/>
          </w:rPr>
          <w:t>Tanah</w:t>
        </w:r>
        <w:r>
          <w:rPr>
            <w:rFonts w:ascii="Lucida Sans Unicode"/>
            <w:sz w:val="20"/>
          </w:rPr>
          <w:tab/>
        </w:r>
        <w:r>
          <w:rPr>
            <w:rFonts w:ascii="Lucida Sans Unicode"/>
            <w:spacing w:val="-5"/>
            <w:sz w:val="20"/>
          </w:rPr>
          <w:t>102</w:t>
        </w:r>
      </w:hyperlink>
    </w:p>
    <w:p>
      <w:pPr>
        <w:tabs>
          <w:tab w:pos="8244" w:val="left" w:leader="dot"/>
        </w:tabs>
        <w:spacing w:line="266" w:lineRule="auto" w:before="43"/>
        <w:ind w:left="566" w:right="725" w:firstLine="0"/>
        <w:jc w:val="left"/>
        <w:rPr>
          <w:rFonts w:ascii="Lucida Sans Unicode"/>
          <w:sz w:val="20"/>
        </w:rPr>
      </w:pPr>
      <w:hyperlink w:history="true" w:anchor="_bookmark60">
        <w:r>
          <w:rPr>
            <w:rFonts w:ascii="Lucida Sans Unicode"/>
            <w:w w:val="105"/>
            <w:sz w:val="20"/>
          </w:rPr>
          <w:t>Gambar 9. Enam kecamatan di Kabupaten Kutai Kartanegara dan Batas</w:t>
        </w:r>
      </w:hyperlink>
      <w:r>
        <w:rPr>
          <w:rFonts w:ascii="Lucida Sans Unicode"/>
          <w:w w:val="105"/>
          <w:sz w:val="20"/>
        </w:rPr>
        <w:t> </w:t>
      </w:r>
      <w:hyperlink w:history="true" w:anchor="_bookmark60">
        <w:r>
          <w:rPr>
            <w:rFonts w:ascii="Lucida Sans Unicode"/>
            <w:w w:val="105"/>
            <w:sz w:val="20"/>
          </w:rPr>
          <w:t>Kawasan</w:t>
        </w:r>
        <w:r>
          <w:rPr>
            <w:rFonts w:ascii="Lucida Sans Unicode"/>
            <w:spacing w:val="-5"/>
            <w:w w:val="105"/>
            <w:sz w:val="20"/>
          </w:rPr>
          <w:t> </w:t>
        </w:r>
        <w:r>
          <w:rPr>
            <w:rFonts w:ascii="Lucida Sans Unicode"/>
            <w:w w:val="105"/>
            <w:sz w:val="20"/>
          </w:rPr>
          <w:t>IKN</w:t>
        </w:r>
        <w:r>
          <w:rPr>
            <w:rFonts w:ascii="Lucida Sans Unicode"/>
            <w:sz w:val="20"/>
          </w:rPr>
          <w:tab/>
        </w:r>
        <w:r>
          <w:rPr>
            <w:rFonts w:ascii="Lucida Sans Unicode"/>
            <w:spacing w:val="-10"/>
            <w:w w:val="70"/>
            <w:sz w:val="20"/>
          </w:rPr>
          <w:t>114</w:t>
        </w:r>
      </w:hyperlink>
    </w:p>
    <w:p>
      <w:pPr>
        <w:tabs>
          <w:tab w:pos="8244" w:val="left" w:leader="dot"/>
        </w:tabs>
        <w:spacing w:line="266" w:lineRule="auto" w:before="4"/>
        <w:ind w:left="566" w:right="725" w:firstLine="0"/>
        <w:jc w:val="left"/>
        <w:rPr>
          <w:rFonts w:ascii="Lucida Sans Unicode"/>
          <w:sz w:val="20"/>
        </w:rPr>
      </w:pPr>
      <w:hyperlink w:history="true" w:anchor="_bookmark61">
        <w:r>
          <w:rPr>
            <w:rFonts w:ascii="Lucida Sans Unicode"/>
            <w:sz w:val="20"/>
          </w:rPr>
          <w:t>Gambar 10. Lokasi 39 Kelurahan/Desa pada 6 Kecamatan di Kabupaten Kutai</w:t>
        </w:r>
      </w:hyperlink>
      <w:r>
        <w:rPr>
          <w:rFonts w:ascii="Lucida Sans Unicode"/>
          <w:sz w:val="20"/>
        </w:rPr>
        <w:t> </w:t>
      </w:r>
      <w:hyperlink w:history="true" w:anchor="_bookmark61">
        <w:r>
          <w:rPr>
            <w:rFonts w:ascii="Lucida Sans Unicode"/>
            <w:sz w:val="20"/>
          </w:rPr>
          <w:t>Kartanegara di wilayah IKN</w:t>
          <w:tab/>
        </w:r>
        <w:r>
          <w:rPr>
            <w:rFonts w:ascii="Lucida Sans Unicode"/>
            <w:spacing w:val="-10"/>
            <w:w w:val="70"/>
            <w:sz w:val="20"/>
          </w:rPr>
          <w:t>115</w:t>
        </w:r>
      </w:hyperlink>
    </w:p>
    <w:p>
      <w:pPr>
        <w:tabs>
          <w:tab w:pos="8263" w:val="left" w:leader="dot"/>
        </w:tabs>
        <w:spacing w:line="266" w:lineRule="auto" w:before="10"/>
        <w:ind w:left="566" w:right="720" w:firstLine="0"/>
        <w:jc w:val="left"/>
        <w:rPr>
          <w:rFonts w:ascii="Lucida Sans Unicode"/>
          <w:sz w:val="20"/>
        </w:rPr>
      </w:pPr>
      <w:hyperlink w:history="true" w:anchor="_bookmark63">
        <w:r>
          <w:rPr>
            <w:rFonts w:ascii="Lucida Sans Unicode"/>
            <w:sz w:val="20"/>
          </w:rPr>
          <w:t>Gambar 11. Sebaran fasilitas layanan kesehatan masyarakat di Kab. Kutai</w:t>
        </w:r>
      </w:hyperlink>
      <w:r>
        <w:rPr>
          <w:rFonts w:ascii="Lucida Sans Unicode"/>
          <w:sz w:val="20"/>
        </w:rPr>
        <w:t> </w:t>
      </w:r>
      <w:hyperlink w:history="true" w:anchor="_bookmark63">
        <w:r>
          <w:rPr>
            <w:rFonts w:ascii="Lucida Sans Unicode"/>
            <w:sz w:val="20"/>
          </w:rPr>
          <w:t>Kartanegara yang masuk wilayah IKN</w:t>
          <w:tab/>
        </w:r>
        <w:r>
          <w:rPr>
            <w:rFonts w:ascii="Lucida Sans Unicode"/>
            <w:spacing w:val="-8"/>
            <w:w w:val="65"/>
            <w:sz w:val="20"/>
          </w:rPr>
          <w:t>117</w:t>
        </w:r>
      </w:hyperlink>
    </w:p>
    <w:p>
      <w:pPr>
        <w:tabs>
          <w:tab w:pos="8263" w:val="left" w:leader="dot"/>
        </w:tabs>
        <w:spacing w:line="307" w:lineRule="exact" w:before="0"/>
        <w:ind w:left="566" w:right="0" w:firstLine="0"/>
        <w:jc w:val="left"/>
        <w:rPr>
          <w:rFonts w:ascii="Lucida Sans Unicode"/>
          <w:sz w:val="20"/>
        </w:rPr>
      </w:pPr>
      <w:hyperlink w:history="true" w:anchor="_bookmark64">
        <w:r>
          <w:rPr>
            <w:rFonts w:ascii="Lucida Sans Unicode"/>
            <w:sz w:val="20"/>
          </w:rPr>
          <w:t>Gambar</w:t>
        </w:r>
        <w:r>
          <w:rPr>
            <w:rFonts w:ascii="Lucida Sans Unicode"/>
            <w:spacing w:val="5"/>
            <w:sz w:val="20"/>
          </w:rPr>
          <w:t> </w:t>
        </w:r>
        <w:r>
          <w:rPr>
            <w:rFonts w:ascii="Lucida Sans Unicode"/>
            <w:sz w:val="20"/>
          </w:rPr>
          <w:t>12.</w:t>
        </w:r>
        <w:r>
          <w:rPr>
            <w:rFonts w:ascii="Lucida Sans Unicode"/>
            <w:spacing w:val="3"/>
            <w:sz w:val="20"/>
          </w:rPr>
          <w:t> </w:t>
        </w:r>
        <w:r>
          <w:rPr>
            <w:rFonts w:ascii="Lucida Sans Unicode"/>
            <w:sz w:val="20"/>
          </w:rPr>
          <w:t>RSUD</w:t>
        </w:r>
        <w:r>
          <w:rPr>
            <w:rFonts w:ascii="Lucida Sans Unicode"/>
            <w:spacing w:val="1"/>
            <w:sz w:val="20"/>
          </w:rPr>
          <w:t> </w:t>
        </w:r>
        <w:r>
          <w:rPr>
            <w:rFonts w:ascii="Lucida Sans Unicode"/>
            <w:sz w:val="20"/>
          </w:rPr>
          <w:t>ABADI</w:t>
        </w:r>
        <w:r>
          <w:rPr>
            <w:rFonts w:ascii="Lucida Sans Unicode"/>
            <w:spacing w:val="4"/>
            <w:sz w:val="20"/>
          </w:rPr>
          <w:t> </w:t>
        </w:r>
        <w:r>
          <w:rPr>
            <w:rFonts w:ascii="Lucida Sans Unicode"/>
            <w:sz w:val="20"/>
          </w:rPr>
          <w:t>di</w:t>
        </w:r>
        <w:r>
          <w:rPr>
            <w:rFonts w:ascii="Lucida Sans Unicode"/>
            <w:spacing w:val="8"/>
            <w:sz w:val="20"/>
          </w:rPr>
          <w:t> </w:t>
        </w:r>
        <w:r>
          <w:rPr>
            <w:rFonts w:ascii="Lucida Sans Unicode"/>
            <w:sz w:val="20"/>
          </w:rPr>
          <w:t>Kecamatan</w:t>
        </w:r>
        <w:r>
          <w:rPr>
            <w:rFonts w:ascii="Lucida Sans Unicode"/>
            <w:spacing w:val="8"/>
            <w:sz w:val="20"/>
          </w:rPr>
          <w:t> </w:t>
        </w:r>
        <w:r>
          <w:rPr>
            <w:rFonts w:ascii="Lucida Sans Unicode"/>
            <w:sz w:val="20"/>
          </w:rPr>
          <w:t>Samboja</w:t>
        </w:r>
        <w:r>
          <w:rPr>
            <w:rFonts w:ascii="Lucida Sans Unicode"/>
            <w:spacing w:val="4"/>
            <w:sz w:val="20"/>
          </w:rPr>
          <w:t> </w:t>
        </w:r>
        <w:r>
          <w:rPr>
            <w:rFonts w:ascii="Lucida Sans Unicode"/>
            <w:sz w:val="20"/>
          </w:rPr>
          <w:t>(Survey</w:t>
        </w:r>
        <w:r>
          <w:rPr>
            <w:rFonts w:ascii="Lucida Sans Unicode"/>
            <w:spacing w:val="8"/>
            <w:sz w:val="20"/>
          </w:rPr>
          <w:t> </w:t>
        </w:r>
        <w:r>
          <w:rPr>
            <w:rFonts w:ascii="Lucida Sans Unicode"/>
            <w:sz w:val="20"/>
          </w:rPr>
          <w:t>lapangan,</w:t>
        </w:r>
        <w:r>
          <w:rPr>
            <w:rFonts w:ascii="Lucida Sans Unicode"/>
            <w:spacing w:val="8"/>
            <w:sz w:val="20"/>
          </w:rPr>
          <w:t> </w:t>
        </w:r>
        <w:r>
          <w:rPr>
            <w:rFonts w:ascii="Lucida Sans Unicode"/>
            <w:spacing w:val="-2"/>
            <w:sz w:val="20"/>
          </w:rPr>
          <w:t>2023)</w:t>
        </w:r>
        <w:r>
          <w:rPr>
            <w:rFonts w:ascii="Lucida Sans Unicode"/>
            <w:sz w:val="20"/>
          </w:rPr>
          <w:tab/>
        </w:r>
        <w:r>
          <w:rPr>
            <w:rFonts w:ascii="Lucida Sans Unicode"/>
            <w:spacing w:val="-5"/>
            <w:sz w:val="20"/>
          </w:rPr>
          <w:t>117</w:t>
        </w:r>
      </w:hyperlink>
    </w:p>
    <w:p>
      <w:pPr>
        <w:tabs>
          <w:tab w:pos="8196" w:val="left" w:leader="dot"/>
        </w:tabs>
        <w:spacing w:line="266" w:lineRule="auto" w:before="43"/>
        <w:ind w:left="566" w:right="715" w:firstLine="0"/>
        <w:jc w:val="left"/>
        <w:rPr>
          <w:rFonts w:ascii="Lucida Sans Unicode"/>
          <w:sz w:val="20"/>
        </w:rPr>
      </w:pPr>
      <w:hyperlink w:history="true" w:anchor="_bookmark65">
        <w:r>
          <w:rPr>
            <w:rFonts w:ascii="Lucida Sans Unicode"/>
            <w:sz w:val="20"/>
          </w:rPr>
          <w:t>Gambar 13. Lokasi pariwisata di 6 kecamatan Kabupaten Kutai Kartanegara</w:t>
        </w:r>
        <w:r>
          <w:rPr>
            <w:rFonts w:ascii="Lucida Sans Unicode"/>
            <w:spacing w:val="-21"/>
            <w:sz w:val="20"/>
          </w:rPr>
          <w:t> </w:t>
        </w:r>
        <w:r>
          <w:rPr>
            <w:rFonts w:ascii="Lucida Sans Unicode"/>
            <w:sz w:val="20"/>
          </w:rPr>
          <w:t>.</w:t>
        </w:r>
        <w:r>
          <w:rPr>
            <w:rFonts w:ascii="Lucida Sans Unicode"/>
            <w:spacing w:val="-27"/>
            <w:sz w:val="20"/>
          </w:rPr>
          <w:t> </w:t>
        </w:r>
        <w:r>
          <w:rPr>
            <w:rFonts w:ascii="Lucida Sans Unicode"/>
            <w:sz w:val="20"/>
          </w:rPr>
          <w:t>119</w:t>
        </w:r>
      </w:hyperlink>
      <w:r>
        <w:rPr>
          <w:rFonts w:ascii="Lucida Sans Unicode"/>
          <w:sz w:val="20"/>
        </w:rPr>
        <w:t> </w:t>
      </w:r>
      <w:hyperlink w:history="true" w:anchor="_bookmark66">
        <w:r>
          <w:rPr>
            <w:rFonts w:ascii="Lucida Sans Unicode"/>
            <w:sz w:val="20"/>
          </w:rPr>
          <w:t>Gambar</w:t>
        </w:r>
        <w:r>
          <w:rPr>
            <w:rFonts w:ascii="Lucida Sans Unicode"/>
            <w:spacing w:val="14"/>
            <w:sz w:val="20"/>
          </w:rPr>
          <w:t> </w:t>
        </w:r>
        <w:r>
          <w:rPr>
            <w:rFonts w:ascii="Lucida Sans Unicode"/>
            <w:sz w:val="20"/>
          </w:rPr>
          <w:t>14.</w:t>
        </w:r>
        <w:r>
          <w:rPr>
            <w:rFonts w:ascii="Lucida Sans Unicode"/>
            <w:spacing w:val="16"/>
            <w:sz w:val="20"/>
          </w:rPr>
          <w:t> </w:t>
        </w:r>
        <w:r>
          <w:rPr>
            <w:rFonts w:ascii="Lucida Sans Unicode"/>
            <w:sz w:val="20"/>
          </w:rPr>
          <w:t>Destinasi</w:t>
        </w:r>
        <w:r>
          <w:rPr>
            <w:rFonts w:ascii="Lucida Sans Unicode"/>
            <w:spacing w:val="17"/>
            <w:sz w:val="20"/>
          </w:rPr>
          <w:t> </w:t>
        </w:r>
        <w:r>
          <w:rPr>
            <w:rFonts w:ascii="Lucida Sans Unicode"/>
            <w:sz w:val="20"/>
          </w:rPr>
          <w:t>pariwisata</w:t>
        </w:r>
        <w:r>
          <w:rPr>
            <w:rFonts w:ascii="Lucida Sans Unicode"/>
            <w:spacing w:val="16"/>
            <w:sz w:val="20"/>
          </w:rPr>
          <w:t> </w:t>
        </w:r>
        <w:r>
          <w:rPr>
            <w:rFonts w:ascii="Lucida Sans Unicode"/>
            <w:sz w:val="20"/>
          </w:rPr>
          <w:t>pantai</w:t>
        </w:r>
        <w:r>
          <w:rPr>
            <w:rFonts w:ascii="Lucida Sans Unicode"/>
            <w:spacing w:val="17"/>
            <w:sz w:val="20"/>
          </w:rPr>
          <w:t> </w:t>
        </w:r>
        <w:r>
          <w:rPr>
            <w:rFonts w:ascii="Lucida Sans Unicode"/>
            <w:sz w:val="20"/>
          </w:rPr>
          <w:t>di</w:t>
        </w:r>
        <w:r>
          <w:rPr>
            <w:rFonts w:ascii="Lucida Sans Unicode"/>
            <w:spacing w:val="16"/>
            <w:sz w:val="20"/>
          </w:rPr>
          <w:t> </w:t>
        </w:r>
        <w:r>
          <w:rPr>
            <w:rFonts w:ascii="Lucida Sans Unicode"/>
            <w:sz w:val="20"/>
          </w:rPr>
          <w:t>Kecamatan</w:t>
        </w:r>
        <w:r>
          <w:rPr>
            <w:rFonts w:ascii="Lucida Sans Unicode"/>
            <w:spacing w:val="13"/>
            <w:sz w:val="20"/>
          </w:rPr>
          <w:t> </w:t>
        </w:r>
        <w:r>
          <w:rPr>
            <w:rFonts w:ascii="Lucida Sans Unicode"/>
            <w:spacing w:val="-2"/>
            <w:sz w:val="20"/>
          </w:rPr>
          <w:t>Samboja</w:t>
        </w:r>
        <w:r>
          <w:rPr>
            <w:rFonts w:ascii="Lucida Sans Unicode"/>
            <w:sz w:val="20"/>
          </w:rPr>
          <w:tab/>
        </w:r>
        <w:r>
          <w:rPr>
            <w:rFonts w:ascii="Lucida Sans Unicode"/>
            <w:spacing w:val="-5"/>
            <w:w w:val="80"/>
            <w:sz w:val="20"/>
          </w:rPr>
          <w:t>120</w:t>
        </w:r>
      </w:hyperlink>
    </w:p>
    <w:p>
      <w:pPr>
        <w:tabs>
          <w:tab w:pos="8206" w:val="left" w:leader="dot"/>
        </w:tabs>
        <w:spacing w:line="261" w:lineRule="auto" w:before="9"/>
        <w:ind w:left="566" w:right="720" w:firstLine="0"/>
        <w:jc w:val="left"/>
        <w:rPr>
          <w:rFonts w:ascii="Lucida Sans Unicode"/>
          <w:sz w:val="20"/>
        </w:rPr>
      </w:pPr>
      <w:hyperlink w:history="true" w:anchor="_bookmark68">
        <w:r>
          <w:rPr>
            <w:rFonts w:ascii="Lucida Sans Unicode"/>
            <w:sz w:val="20"/>
          </w:rPr>
          <w:t>Gambar 15. Sebaran lokasi fasilitas pendidikan</w:t>
        </w:r>
        <w:r>
          <w:rPr>
            <w:rFonts w:ascii="Lucida Sans Unicode"/>
            <w:spacing w:val="80"/>
            <w:sz w:val="20"/>
          </w:rPr>
          <w:t> </w:t>
        </w:r>
        <w:r>
          <w:rPr>
            <w:rFonts w:ascii="Lucida Sans Unicode"/>
            <w:sz w:val="20"/>
          </w:rPr>
          <w:t>di</w:t>
        </w:r>
        <w:r>
          <w:rPr>
            <w:rFonts w:ascii="Lucida Sans Unicode"/>
            <w:spacing w:val="80"/>
            <w:sz w:val="20"/>
          </w:rPr>
          <w:t> </w:t>
        </w:r>
        <w:r>
          <w:rPr>
            <w:rFonts w:ascii="Lucida Sans Unicode"/>
            <w:sz w:val="20"/>
          </w:rPr>
          <w:t>6</w:t>
        </w:r>
        <w:r>
          <w:rPr>
            <w:rFonts w:ascii="Lucida Sans Unicode"/>
            <w:spacing w:val="80"/>
            <w:sz w:val="20"/>
          </w:rPr>
          <w:t> </w:t>
        </w:r>
        <w:r>
          <w:rPr>
            <w:rFonts w:ascii="Lucida Sans Unicode"/>
            <w:sz w:val="20"/>
          </w:rPr>
          <w:t>kecamatan</w:t>
        </w:r>
        <w:r>
          <w:rPr>
            <w:rFonts w:ascii="Lucida Sans Unicode"/>
            <w:spacing w:val="80"/>
            <w:sz w:val="20"/>
          </w:rPr>
          <w:t> </w:t>
        </w:r>
        <w:r>
          <w:rPr>
            <w:rFonts w:ascii="Lucida Sans Unicode"/>
            <w:sz w:val="20"/>
          </w:rPr>
          <w:t>Kabupaten</w:t>
        </w:r>
      </w:hyperlink>
      <w:r>
        <w:rPr>
          <w:rFonts w:ascii="Lucida Sans Unicode"/>
          <w:sz w:val="20"/>
        </w:rPr>
        <w:t> </w:t>
      </w:r>
      <w:hyperlink w:history="true" w:anchor="_bookmark68">
        <w:r>
          <w:rPr>
            <w:rFonts w:ascii="Lucida Sans Unicode"/>
            <w:sz w:val="20"/>
          </w:rPr>
          <w:t>Kutai Kartanegara</w:t>
          <w:tab/>
        </w:r>
        <w:r>
          <w:rPr>
            <w:rFonts w:ascii="Lucida Sans Unicode"/>
            <w:spacing w:val="-8"/>
            <w:w w:val="80"/>
            <w:sz w:val="20"/>
          </w:rPr>
          <w:t>122</w:t>
        </w:r>
      </w:hyperlink>
    </w:p>
    <w:p>
      <w:pPr>
        <w:tabs>
          <w:tab w:pos="8201" w:val="left" w:leader="dot"/>
        </w:tabs>
        <w:spacing w:line="266" w:lineRule="auto" w:before="17"/>
        <w:ind w:left="566" w:right="725" w:firstLine="0"/>
        <w:jc w:val="left"/>
        <w:rPr>
          <w:rFonts w:ascii="Lucida Sans Unicode"/>
          <w:sz w:val="20"/>
        </w:rPr>
      </w:pPr>
      <w:hyperlink w:history="true" w:anchor="_bookmark69">
        <w:r>
          <w:rPr>
            <w:rFonts w:ascii="Lucida Sans Unicode"/>
            <w:sz w:val="20"/>
          </w:rPr>
          <w:t>Gambar 16. Lokasi IUP Pertambangan Kab. Kutai Kartanegara yang masuk ke</w:t>
        </w:r>
      </w:hyperlink>
      <w:r>
        <w:rPr>
          <w:rFonts w:ascii="Lucida Sans Unicode"/>
          <w:sz w:val="20"/>
        </w:rPr>
        <w:t> </w:t>
      </w:r>
      <w:hyperlink w:history="true" w:anchor="_bookmark69">
        <w:r>
          <w:rPr>
            <w:rFonts w:ascii="Lucida Sans Unicode"/>
            <w:sz w:val="20"/>
          </w:rPr>
          <w:t>Kawasan IKN</w:t>
          <w:tab/>
        </w:r>
        <w:r>
          <w:rPr>
            <w:rFonts w:ascii="Lucida Sans Unicode"/>
            <w:spacing w:val="-8"/>
            <w:w w:val="80"/>
            <w:sz w:val="20"/>
          </w:rPr>
          <w:t>123</w:t>
        </w:r>
      </w:hyperlink>
    </w:p>
    <w:p>
      <w:pPr>
        <w:tabs>
          <w:tab w:pos="8196" w:val="left" w:leader="dot"/>
        </w:tabs>
        <w:spacing w:line="266" w:lineRule="auto" w:before="4"/>
        <w:ind w:left="566" w:right="715" w:firstLine="0"/>
        <w:jc w:val="left"/>
        <w:rPr>
          <w:rFonts w:ascii="Lucida Sans Unicode"/>
          <w:sz w:val="20"/>
        </w:rPr>
      </w:pPr>
      <w:hyperlink w:history="true" w:anchor="_bookmark70">
        <w:r>
          <w:rPr>
            <w:rFonts w:ascii="Lucida Sans Unicode"/>
            <w:sz w:val="20"/>
          </w:rPr>
          <w:t>Gambar</w:t>
        </w:r>
        <w:r>
          <w:rPr>
            <w:rFonts w:ascii="Lucida Sans Unicode"/>
            <w:spacing w:val="26"/>
            <w:sz w:val="20"/>
          </w:rPr>
          <w:t> </w:t>
        </w:r>
        <w:r>
          <w:rPr>
            <w:rFonts w:ascii="Lucida Sans Unicode"/>
            <w:sz w:val="20"/>
          </w:rPr>
          <w:t>17.</w:t>
        </w:r>
        <w:r>
          <w:rPr>
            <w:rFonts w:ascii="Lucida Sans Unicode"/>
            <w:spacing w:val="26"/>
            <w:sz w:val="20"/>
          </w:rPr>
          <w:t> </w:t>
        </w:r>
        <w:r>
          <w:rPr>
            <w:rFonts w:ascii="Lucida Sans Unicode"/>
            <w:sz w:val="20"/>
          </w:rPr>
          <w:t>Sumur</w:t>
        </w:r>
        <w:r>
          <w:rPr>
            <w:rFonts w:ascii="Lucida Sans Unicode"/>
            <w:spacing w:val="26"/>
            <w:sz w:val="20"/>
          </w:rPr>
          <w:t> </w:t>
        </w:r>
        <w:r>
          <w:rPr>
            <w:rFonts w:ascii="Lucida Sans Unicode"/>
            <w:sz w:val="20"/>
          </w:rPr>
          <w:t>Minyak</w:t>
        </w:r>
        <w:r>
          <w:rPr>
            <w:rFonts w:ascii="Lucida Sans Unicode"/>
            <w:spacing w:val="31"/>
            <w:sz w:val="20"/>
          </w:rPr>
          <w:t> </w:t>
        </w:r>
        <w:r>
          <w:rPr>
            <w:rFonts w:ascii="Lucida Sans Unicode"/>
            <w:sz w:val="20"/>
          </w:rPr>
          <w:t>dan</w:t>
        </w:r>
        <w:r>
          <w:rPr>
            <w:rFonts w:ascii="Lucida Sans Unicode"/>
            <w:spacing w:val="28"/>
            <w:sz w:val="20"/>
          </w:rPr>
          <w:t> </w:t>
        </w:r>
        <w:r>
          <w:rPr>
            <w:rFonts w:ascii="Lucida Sans Unicode"/>
            <w:sz w:val="20"/>
          </w:rPr>
          <w:t>Wilayah</w:t>
        </w:r>
        <w:r>
          <w:rPr>
            <w:rFonts w:ascii="Lucida Sans Unicode"/>
            <w:spacing w:val="26"/>
            <w:sz w:val="20"/>
          </w:rPr>
          <w:t> </w:t>
        </w:r>
        <w:r>
          <w:rPr>
            <w:rFonts w:ascii="Lucida Sans Unicode"/>
            <w:sz w:val="20"/>
          </w:rPr>
          <w:t>Kerja</w:t>
        </w:r>
        <w:r>
          <w:rPr>
            <w:rFonts w:ascii="Lucida Sans Unicode"/>
            <w:spacing w:val="26"/>
            <w:sz w:val="20"/>
          </w:rPr>
          <w:t> </w:t>
        </w:r>
        <w:r>
          <w:rPr>
            <w:rFonts w:ascii="Lucida Sans Unicode"/>
            <w:sz w:val="20"/>
          </w:rPr>
          <w:t>MIGAS</w:t>
        </w:r>
        <w:r>
          <w:rPr>
            <w:rFonts w:ascii="Lucida Sans Unicode"/>
            <w:spacing w:val="30"/>
            <w:sz w:val="20"/>
          </w:rPr>
          <w:t> </w:t>
        </w:r>
        <w:r>
          <w:rPr>
            <w:rFonts w:ascii="Lucida Sans Unicode"/>
            <w:sz w:val="20"/>
          </w:rPr>
          <w:t>Kab.</w:t>
        </w:r>
        <w:r>
          <w:rPr>
            <w:rFonts w:ascii="Lucida Sans Unicode"/>
            <w:spacing w:val="26"/>
            <w:sz w:val="20"/>
          </w:rPr>
          <w:t> </w:t>
        </w:r>
        <w:r>
          <w:rPr>
            <w:rFonts w:ascii="Lucida Sans Unicode"/>
            <w:sz w:val="20"/>
          </w:rPr>
          <w:t>Kutai</w:t>
        </w:r>
        <w:r>
          <w:rPr>
            <w:rFonts w:ascii="Lucida Sans Unicode"/>
            <w:spacing w:val="28"/>
            <w:sz w:val="20"/>
          </w:rPr>
          <w:t> </w:t>
        </w:r>
        <w:r>
          <w:rPr>
            <w:rFonts w:ascii="Lucida Sans Unicode"/>
            <w:sz w:val="20"/>
          </w:rPr>
          <w:t>Kartanegara</w:t>
        </w:r>
      </w:hyperlink>
      <w:r>
        <w:rPr>
          <w:rFonts w:ascii="Lucida Sans Unicode"/>
          <w:sz w:val="20"/>
        </w:rPr>
        <w:t> </w:t>
      </w:r>
      <w:hyperlink w:history="true" w:anchor="_bookmark70">
        <w:r>
          <w:rPr>
            <w:rFonts w:ascii="Lucida Sans Unicode"/>
            <w:sz w:val="20"/>
          </w:rPr>
          <w:t>yang</w:t>
        </w:r>
        <w:r>
          <w:rPr>
            <w:rFonts w:ascii="Lucida Sans Unicode"/>
            <w:spacing w:val="3"/>
            <w:sz w:val="20"/>
          </w:rPr>
          <w:t> </w:t>
        </w:r>
        <w:r>
          <w:rPr>
            <w:rFonts w:ascii="Lucida Sans Unicode"/>
            <w:sz w:val="20"/>
          </w:rPr>
          <w:t>masuk</w:t>
        </w:r>
        <w:r>
          <w:rPr>
            <w:rFonts w:ascii="Lucida Sans Unicode"/>
            <w:spacing w:val="3"/>
            <w:sz w:val="20"/>
          </w:rPr>
          <w:t> </w:t>
        </w:r>
        <w:r>
          <w:rPr>
            <w:rFonts w:ascii="Lucida Sans Unicode"/>
            <w:sz w:val="20"/>
          </w:rPr>
          <w:t>ke</w:t>
        </w:r>
        <w:r>
          <w:rPr>
            <w:rFonts w:ascii="Lucida Sans Unicode"/>
            <w:spacing w:val="3"/>
            <w:sz w:val="20"/>
          </w:rPr>
          <w:t> </w:t>
        </w:r>
        <w:r>
          <w:rPr>
            <w:rFonts w:ascii="Lucida Sans Unicode"/>
            <w:sz w:val="20"/>
          </w:rPr>
          <w:t>Kawasan</w:t>
        </w:r>
        <w:r>
          <w:rPr>
            <w:rFonts w:ascii="Lucida Sans Unicode"/>
            <w:spacing w:val="5"/>
            <w:sz w:val="20"/>
          </w:rPr>
          <w:t> </w:t>
        </w:r>
        <w:r>
          <w:rPr>
            <w:rFonts w:ascii="Lucida Sans Unicode"/>
            <w:spacing w:val="-5"/>
            <w:sz w:val="20"/>
          </w:rPr>
          <w:t>IKN</w:t>
        </w:r>
        <w:r>
          <w:rPr>
            <w:rFonts w:ascii="Lucida Sans Unicode"/>
            <w:sz w:val="20"/>
          </w:rPr>
          <w:tab/>
        </w:r>
        <w:r>
          <w:rPr>
            <w:rFonts w:ascii="Lucida Sans Unicode"/>
            <w:spacing w:val="-5"/>
            <w:w w:val="80"/>
            <w:sz w:val="20"/>
          </w:rPr>
          <w:t>124</w:t>
        </w:r>
      </w:hyperlink>
    </w:p>
    <w:p>
      <w:pPr>
        <w:tabs>
          <w:tab w:pos="8196" w:val="left" w:leader="dot"/>
        </w:tabs>
        <w:spacing w:before="0"/>
        <w:ind w:left="566" w:right="0" w:firstLine="0"/>
        <w:jc w:val="left"/>
        <w:rPr>
          <w:rFonts w:ascii="Lucida Sans Unicode"/>
          <w:sz w:val="20"/>
        </w:rPr>
      </w:pPr>
      <w:hyperlink w:history="true" w:anchor="_bookmark71">
        <w:r>
          <w:rPr>
            <w:rFonts w:ascii="Lucida Sans Unicode"/>
            <w:sz w:val="20"/>
          </w:rPr>
          <w:t>Gambar</w:t>
        </w:r>
        <w:r>
          <w:rPr>
            <w:rFonts w:ascii="Lucida Sans Unicode"/>
            <w:spacing w:val="4"/>
            <w:sz w:val="20"/>
          </w:rPr>
          <w:t> </w:t>
        </w:r>
        <w:r>
          <w:rPr>
            <w:rFonts w:ascii="Lucida Sans Unicode"/>
            <w:sz w:val="20"/>
          </w:rPr>
          <w:t>18.</w:t>
        </w:r>
        <w:r>
          <w:rPr>
            <w:rFonts w:ascii="Lucida Sans Unicode"/>
            <w:spacing w:val="7"/>
            <w:sz w:val="20"/>
          </w:rPr>
          <w:t> </w:t>
        </w:r>
        <w:r>
          <w:rPr>
            <w:rFonts w:ascii="Lucida Sans Unicode"/>
            <w:sz w:val="20"/>
          </w:rPr>
          <w:t>Aktivitas</w:t>
        </w:r>
        <w:r>
          <w:rPr>
            <w:rFonts w:ascii="Lucida Sans Unicode"/>
            <w:spacing w:val="6"/>
            <w:sz w:val="20"/>
          </w:rPr>
          <w:t> </w:t>
        </w:r>
        <w:r>
          <w:rPr>
            <w:rFonts w:ascii="Lucida Sans Unicode"/>
            <w:sz w:val="20"/>
          </w:rPr>
          <w:t>Tambang</w:t>
        </w:r>
        <w:r>
          <w:rPr>
            <w:rFonts w:ascii="Lucida Sans Unicode"/>
            <w:spacing w:val="7"/>
            <w:sz w:val="20"/>
          </w:rPr>
          <w:t> </w:t>
        </w:r>
        <w:r>
          <w:rPr>
            <w:rFonts w:ascii="Lucida Sans Unicode"/>
            <w:sz w:val="20"/>
          </w:rPr>
          <w:t>dan</w:t>
        </w:r>
        <w:r>
          <w:rPr>
            <w:rFonts w:ascii="Lucida Sans Unicode"/>
            <w:spacing w:val="7"/>
            <w:sz w:val="20"/>
          </w:rPr>
          <w:t> </w:t>
        </w:r>
        <w:r>
          <w:rPr>
            <w:rFonts w:ascii="Lucida Sans Unicode"/>
            <w:sz w:val="20"/>
          </w:rPr>
          <w:t>MIGAS</w:t>
        </w:r>
        <w:r>
          <w:rPr>
            <w:rFonts w:ascii="Lucida Sans Unicode"/>
            <w:spacing w:val="10"/>
            <w:sz w:val="20"/>
          </w:rPr>
          <w:t> </w:t>
        </w:r>
        <w:r>
          <w:rPr>
            <w:rFonts w:ascii="Lucida Sans Unicode"/>
            <w:sz w:val="20"/>
          </w:rPr>
          <w:t>di</w:t>
        </w:r>
        <w:r>
          <w:rPr>
            <w:rFonts w:ascii="Lucida Sans Unicode"/>
            <w:spacing w:val="6"/>
            <w:sz w:val="20"/>
          </w:rPr>
          <w:t> </w:t>
        </w:r>
        <w:r>
          <w:rPr>
            <w:rFonts w:ascii="Lucida Sans Unicode"/>
            <w:sz w:val="20"/>
          </w:rPr>
          <w:t>Kabupaten</w:t>
        </w:r>
        <w:r>
          <w:rPr>
            <w:rFonts w:ascii="Lucida Sans Unicode"/>
            <w:spacing w:val="8"/>
            <w:sz w:val="20"/>
          </w:rPr>
          <w:t> </w:t>
        </w:r>
        <w:r>
          <w:rPr>
            <w:rFonts w:ascii="Lucida Sans Unicode"/>
            <w:sz w:val="20"/>
          </w:rPr>
          <w:t>Kutai</w:t>
        </w:r>
        <w:r>
          <w:rPr>
            <w:rFonts w:ascii="Lucida Sans Unicode"/>
            <w:spacing w:val="8"/>
            <w:sz w:val="20"/>
          </w:rPr>
          <w:t> </w:t>
        </w:r>
        <w:r>
          <w:rPr>
            <w:rFonts w:ascii="Lucida Sans Unicode"/>
            <w:spacing w:val="-2"/>
            <w:sz w:val="20"/>
          </w:rPr>
          <w:t>Kartanegara</w:t>
        </w:r>
        <w:r>
          <w:rPr>
            <w:rFonts w:ascii="Lucida Sans Unicode"/>
            <w:sz w:val="20"/>
          </w:rPr>
          <w:tab/>
        </w:r>
        <w:r>
          <w:rPr>
            <w:rFonts w:ascii="Lucida Sans Unicode"/>
            <w:spacing w:val="-5"/>
            <w:sz w:val="20"/>
          </w:rPr>
          <w:t>125</w:t>
        </w:r>
      </w:hyperlink>
    </w:p>
    <w:p>
      <w:pPr>
        <w:tabs>
          <w:tab w:pos="8191" w:val="left" w:leader="dot"/>
        </w:tabs>
        <w:spacing w:line="266" w:lineRule="auto" w:before="43"/>
        <w:ind w:left="566" w:right="720" w:firstLine="0"/>
        <w:jc w:val="left"/>
        <w:rPr>
          <w:rFonts w:ascii="Lucida Sans Unicode"/>
          <w:sz w:val="20"/>
        </w:rPr>
      </w:pPr>
      <w:hyperlink w:history="true" w:anchor="_bookmark72">
        <w:r>
          <w:rPr>
            <w:rFonts w:ascii="Lucida Sans Unicode"/>
            <w:w w:val="105"/>
            <w:sz w:val="20"/>
          </w:rPr>
          <w:t>Gambar 19. Kelompok Usaha Bersama binaan perusahaan tambang terbesar</w:t>
        </w:r>
      </w:hyperlink>
      <w:r>
        <w:rPr>
          <w:rFonts w:ascii="Lucida Sans Unicode"/>
          <w:w w:val="105"/>
          <w:sz w:val="20"/>
        </w:rPr>
        <w:t> </w:t>
      </w:r>
      <w:hyperlink w:history="true" w:anchor="_bookmark72">
        <w:r>
          <w:rPr>
            <w:rFonts w:ascii="Lucida Sans Unicode"/>
            <w:w w:val="105"/>
            <w:sz w:val="20"/>
          </w:rPr>
          <w:t>di</w:t>
        </w:r>
        <w:r>
          <w:rPr>
            <w:rFonts w:ascii="Lucida Sans Unicode"/>
            <w:spacing w:val="-12"/>
            <w:w w:val="105"/>
            <w:sz w:val="20"/>
          </w:rPr>
          <w:t> </w:t>
        </w:r>
        <w:r>
          <w:rPr>
            <w:rFonts w:ascii="Lucida Sans Unicode"/>
            <w:w w:val="105"/>
            <w:sz w:val="20"/>
          </w:rPr>
          <w:t>Kabupaten</w:t>
        </w:r>
        <w:r>
          <w:rPr>
            <w:rFonts w:ascii="Lucida Sans Unicode"/>
            <w:spacing w:val="-13"/>
            <w:w w:val="105"/>
            <w:sz w:val="20"/>
          </w:rPr>
          <w:t> </w:t>
        </w:r>
        <w:r>
          <w:rPr>
            <w:rFonts w:ascii="Lucida Sans Unicode"/>
            <w:w w:val="105"/>
            <w:sz w:val="20"/>
          </w:rPr>
          <w:t>Kutai</w:t>
        </w:r>
        <w:r>
          <w:rPr>
            <w:rFonts w:ascii="Lucida Sans Unicode"/>
            <w:spacing w:val="-15"/>
            <w:w w:val="105"/>
            <w:sz w:val="20"/>
          </w:rPr>
          <w:t> </w:t>
        </w:r>
        <w:r>
          <w:rPr>
            <w:rFonts w:ascii="Lucida Sans Unicode"/>
            <w:spacing w:val="-2"/>
            <w:w w:val="105"/>
            <w:sz w:val="20"/>
          </w:rPr>
          <w:t>Kartanegara</w:t>
        </w:r>
        <w:r>
          <w:rPr>
            <w:rFonts w:ascii="Lucida Sans Unicode"/>
            <w:sz w:val="20"/>
          </w:rPr>
          <w:tab/>
        </w:r>
        <w:r>
          <w:rPr>
            <w:rFonts w:ascii="Lucida Sans Unicode"/>
            <w:spacing w:val="-10"/>
            <w:w w:val="85"/>
            <w:sz w:val="20"/>
          </w:rPr>
          <w:t>126</w:t>
        </w:r>
      </w:hyperlink>
    </w:p>
    <w:p>
      <w:pPr>
        <w:tabs>
          <w:tab w:pos="8196" w:val="left" w:leader="dot"/>
        </w:tabs>
        <w:spacing w:before="4"/>
        <w:ind w:left="566" w:right="0" w:firstLine="0"/>
        <w:jc w:val="left"/>
        <w:rPr>
          <w:rFonts w:ascii="Lucida Sans Unicode"/>
          <w:sz w:val="20"/>
        </w:rPr>
      </w:pPr>
      <w:hyperlink w:history="true" w:anchor="_bookmark73">
        <w:r>
          <w:rPr>
            <w:rFonts w:ascii="Lucida Sans Unicode"/>
            <w:sz w:val="20"/>
          </w:rPr>
          <w:t>Gambar</w:t>
        </w:r>
        <w:r>
          <w:rPr>
            <w:rFonts w:ascii="Lucida Sans Unicode"/>
            <w:spacing w:val="2"/>
            <w:sz w:val="20"/>
          </w:rPr>
          <w:t> </w:t>
        </w:r>
        <w:r>
          <w:rPr>
            <w:rFonts w:ascii="Lucida Sans Unicode"/>
            <w:sz w:val="20"/>
          </w:rPr>
          <w:t>20.</w:t>
        </w:r>
        <w:r>
          <w:rPr>
            <w:rFonts w:ascii="Lucida Sans Unicode"/>
            <w:spacing w:val="3"/>
            <w:sz w:val="20"/>
          </w:rPr>
          <w:t> </w:t>
        </w:r>
        <w:r>
          <w:rPr>
            <w:rFonts w:ascii="Lucida Sans Unicode"/>
            <w:sz w:val="20"/>
          </w:rPr>
          <w:t>Area</w:t>
        </w:r>
        <w:r>
          <w:rPr>
            <w:rFonts w:ascii="Lucida Sans Unicode"/>
            <w:spacing w:val="3"/>
            <w:sz w:val="20"/>
          </w:rPr>
          <w:t> </w:t>
        </w:r>
        <w:r>
          <w:rPr>
            <w:rFonts w:ascii="Lucida Sans Unicode"/>
            <w:sz w:val="20"/>
          </w:rPr>
          <w:t>perkebunan</w:t>
        </w:r>
        <w:r>
          <w:rPr>
            <w:rFonts w:ascii="Lucida Sans Unicode"/>
            <w:spacing w:val="5"/>
            <w:sz w:val="20"/>
          </w:rPr>
          <w:t> </w:t>
        </w:r>
        <w:r>
          <w:rPr>
            <w:rFonts w:ascii="Lucida Sans Unicode"/>
            <w:sz w:val="20"/>
          </w:rPr>
          <w:t>dan</w:t>
        </w:r>
        <w:r>
          <w:rPr>
            <w:rFonts w:ascii="Lucida Sans Unicode"/>
            <w:spacing w:val="-1"/>
            <w:sz w:val="20"/>
          </w:rPr>
          <w:t> </w:t>
        </w:r>
        <w:r>
          <w:rPr>
            <w:rFonts w:ascii="Lucida Sans Unicode"/>
            <w:sz w:val="20"/>
          </w:rPr>
          <w:t>lokasi</w:t>
        </w:r>
        <w:r>
          <w:rPr>
            <w:rFonts w:ascii="Lucida Sans Unicode"/>
            <w:spacing w:val="-1"/>
            <w:sz w:val="20"/>
          </w:rPr>
          <w:t> </w:t>
        </w:r>
        <w:r>
          <w:rPr>
            <w:rFonts w:ascii="Lucida Sans Unicode"/>
            <w:sz w:val="20"/>
          </w:rPr>
          <w:t>HGU</w:t>
        </w:r>
        <w:r>
          <w:rPr>
            <w:rFonts w:ascii="Lucida Sans Unicode"/>
            <w:spacing w:val="4"/>
            <w:sz w:val="20"/>
          </w:rPr>
          <w:t> </w:t>
        </w:r>
        <w:r>
          <w:rPr>
            <w:rFonts w:ascii="Lucida Sans Unicode"/>
            <w:spacing w:val="-2"/>
            <w:sz w:val="20"/>
          </w:rPr>
          <w:t>Kebun</w:t>
        </w:r>
        <w:r>
          <w:rPr>
            <w:rFonts w:ascii="Lucida Sans Unicode"/>
            <w:sz w:val="20"/>
          </w:rPr>
          <w:tab/>
        </w:r>
        <w:r>
          <w:rPr>
            <w:rFonts w:ascii="Lucida Sans Unicode"/>
            <w:spacing w:val="-5"/>
            <w:sz w:val="20"/>
          </w:rPr>
          <w:t>128</w:t>
        </w:r>
      </w:hyperlink>
    </w:p>
    <w:p>
      <w:pPr>
        <w:tabs>
          <w:tab w:pos="8196" w:val="left" w:leader="dot"/>
        </w:tabs>
        <w:spacing w:before="38"/>
        <w:ind w:left="566" w:right="0" w:firstLine="0"/>
        <w:jc w:val="left"/>
        <w:rPr>
          <w:rFonts w:ascii="Lucida Sans Unicode"/>
          <w:sz w:val="20"/>
        </w:rPr>
      </w:pPr>
      <w:hyperlink w:history="true" w:anchor="_bookmark74">
        <w:r>
          <w:rPr>
            <w:rFonts w:ascii="Lucida Sans Unicode"/>
            <w:sz w:val="20"/>
          </w:rPr>
          <w:t>Gambar</w:t>
        </w:r>
        <w:r>
          <w:rPr>
            <w:rFonts w:ascii="Lucida Sans Unicode"/>
            <w:spacing w:val="2"/>
            <w:sz w:val="20"/>
          </w:rPr>
          <w:t> </w:t>
        </w:r>
        <w:r>
          <w:rPr>
            <w:rFonts w:ascii="Lucida Sans Unicode"/>
            <w:sz w:val="20"/>
          </w:rPr>
          <w:t>21.</w:t>
        </w:r>
        <w:r>
          <w:rPr>
            <w:rFonts w:ascii="Lucida Sans Unicode"/>
            <w:spacing w:val="-1"/>
            <w:sz w:val="20"/>
          </w:rPr>
          <w:t> </w:t>
        </w:r>
        <w:r>
          <w:rPr>
            <w:rFonts w:ascii="Lucida Sans Unicode"/>
            <w:sz w:val="20"/>
          </w:rPr>
          <w:t>Status</w:t>
        </w:r>
        <w:r>
          <w:rPr>
            <w:rFonts w:ascii="Lucida Sans Unicode"/>
            <w:spacing w:val="-2"/>
            <w:sz w:val="20"/>
          </w:rPr>
          <w:t> </w:t>
        </w:r>
        <w:r>
          <w:rPr>
            <w:rFonts w:ascii="Lucida Sans Unicode"/>
            <w:sz w:val="20"/>
          </w:rPr>
          <w:t>Kawasan</w:t>
        </w:r>
        <w:r>
          <w:rPr>
            <w:rFonts w:ascii="Lucida Sans Unicode"/>
            <w:spacing w:val="4"/>
            <w:sz w:val="20"/>
          </w:rPr>
          <w:t> </w:t>
        </w:r>
        <w:r>
          <w:rPr>
            <w:rFonts w:ascii="Lucida Sans Unicode"/>
            <w:spacing w:val="-2"/>
            <w:sz w:val="20"/>
          </w:rPr>
          <w:t>Hutan</w:t>
        </w:r>
        <w:r>
          <w:rPr>
            <w:rFonts w:ascii="Lucida Sans Unicode"/>
            <w:sz w:val="20"/>
          </w:rPr>
          <w:tab/>
        </w:r>
        <w:r>
          <w:rPr>
            <w:rFonts w:ascii="Lucida Sans Unicode"/>
            <w:spacing w:val="-5"/>
            <w:sz w:val="20"/>
          </w:rPr>
          <w:t>129</w:t>
        </w:r>
      </w:hyperlink>
    </w:p>
    <w:p>
      <w:pPr>
        <w:tabs>
          <w:tab w:pos="8191" w:val="left" w:leader="dot"/>
        </w:tabs>
        <w:spacing w:line="266" w:lineRule="auto" w:before="39"/>
        <w:ind w:left="566" w:right="720" w:firstLine="0"/>
        <w:jc w:val="left"/>
        <w:rPr>
          <w:rFonts w:ascii="Lucida Sans Unicode"/>
          <w:sz w:val="20"/>
        </w:rPr>
      </w:pPr>
      <w:hyperlink w:history="true" w:anchor="_bookmark77">
        <w:r>
          <w:rPr>
            <w:rFonts w:ascii="Lucida Sans Unicode"/>
            <w:w w:val="105"/>
            <w:sz w:val="20"/>
          </w:rPr>
          <w:t>Gambar 22. Hubungan Berbagai Peraturan dan Penyusunan Perda di Kutai</w:t>
        </w:r>
      </w:hyperlink>
      <w:r>
        <w:rPr>
          <w:rFonts w:ascii="Lucida Sans Unicode"/>
          <w:w w:val="105"/>
          <w:sz w:val="20"/>
        </w:rPr>
        <w:t> </w:t>
      </w:r>
      <w:hyperlink w:history="true" w:anchor="_bookmark77">
        <w:r>
          <w:rPr>
            <w:rFonts w:ascii="Lucida Sans Unicode"/>
            <w:spacing w:val="-2"/>
            <w:w w:val="105"/>
            <w:sz w:val="20"/>
          </w:rPr>
          <w:t>Kartanegara</w:t>
        </w:r>
        <w:r>
          <w:rPr>
            <w:rFonts w:ascii="Lucida Sans Unicode"/>
            <w:sz w:val="20"/>
          </w:rPr>
          <w:tab/>
        </w:r>
        <w:r>
          <w:rPr>
            <w:rFonts w:ascii="Lucida Sans Unicode"/>
            <w:spacing w:val="-10"/>
            <w:w w:val="85"/>
            <w:sz w:val="20"/>
          </w:rPr>
          <w:t>136</w:t>
        </w:r>
      </w:hyperlink>
    </w:p>
    <w:p>
      <w:pPr>
        <w:spacing w:after="0" w:line="266" w:lineRule="auto"/>
        <w:jc w:val="left"/>
        <w:rPr>
          <w:rFonts w:ascii="Lucida Sans Unicode"/>
          <w:sz w:val="20"/>
        </w:rPr>
        <w:sectPr>
          <w:pgSz w:w="11910" w:h="16840"/>
          <w:pgMar w:header="0" w:footer="1447" w:top="1580" w:bottom="1640" w:left="1700" w:right="992"/>
        </w:sectPr>
      </w:pPr>
    </w:p>
    <w:p>
      <w:pPr>
        <w:pStyle w:val="Heading1"/>
        <w:rPr>
          <w:rFonts w:ascii="Segoe UI"/>
        </w:rPr>
      </w:pPr>
      <w:r>
        <w:rPr>
          <w:rFonts w:ascii="Segoe UI"/>
        </w:rPr>
        <w:t>DAFTAR</w:t>
      </w:r>
      <w:r>
        <w:rPr>
          <w:rFonts w:ascii="Segoe UI"/>
          <w:spacing w:val="-15"/>
        </w:rPr>
        <w:t> </w:t>
      </w:r>
      <w:r>
        <w:rPr>
          <w:rFonts w:ascii="Segoe UI"/>
          <w:spacing w:val="-4"/>
        </w:rPr>
        <w:t>TABEL</w:t>
      </w:r>
    </w:p>
    <w:p>
      <w:pPr>
        <w:tabs>
          <w:tab w:pos="8258" w:val="left" w:leader="dot"/>
        </w:tabs>
        <w:spacing w:before="652"/>
        <w:ind w:left="566" w:right="0" w:firstLine="0"/>
        <w:jc w:val="left"/>
        <w:rPr>
          <w:rFonts w:ascii="Lucida Sans Unicode"/>
          <w:sz w:val="20"/>
        </w:rPr>
      </w:pPr>
      <w:hyperlink w:history="true" w:anchor="_bookmark14">
        <w:r>
          <w:rPr>
            <w:rFonts w:ascii="Lucida Sans Unicode"/>
            <w:spacing w:val="-2"/>
            <w:sz w:val="20"/>
          </w:rPr>
          <w:t>Tabel</w:t>
        </w:r>
        <w:r>
          <w:rPr>
            <w:rFonts w:ascii="Lucida Sans Unicode"/>
            <w:spacing w:val="-11"/>
            <w:sz w:val="20"/>
          </w:rPr>
          <w:t> </w:t>
        </w:r>
        <w:r>
          <w:rPr>
            <w:rFonts w:ascii="Lucida Sans Unicode"/>
            <w:spacing w:val="-2"/>
            <w:sz w:val="20"/>
          </w:rPr>
          <w:t>1.</w:t>
        </w:r>
        <w:r>
          <w:rPr>
            <w:rFonts w:ascii="Lucida Sans Unicode"/>
            <w:spacing w:val="-11"/>
            <w:sz w:val="20"/>
          </w:rPr>
          <w:t> </w:t>
        </w:r>
        <w:r>
          <w:rPr>
            <w:rFonts w:ascii="Lucida Sans Unicode"/>
            <w:spacing w:val="-2"/>
            <w:sz w:val="20"/>
          </w:rPr>
          <w:t>Jenis-jenis</w:t>
        </w:r>
        <w:r>
          <w:rPr>
            <w:rFonts w:ascii="Lucida Sans Unicode"/>
            <w:spacing w:val="-12"/>
            <w:sz w:val="20"/>
          </w:rPr>
          <w:t> </w:t>
        </w:r>
        <w:r>
          <w:rPr>
            <w:rFonts w:ascii="Lucida Sans Unicode"/>
            <w:spacing w:val="-2"/>
            <w:sz w:val="20"/>
          </w:rPr>
          <w:t>Retribusi</w:t>
        </w:r>
        <w:r>
          <w:rPr>
            <w:rFonts w:ascii="Lucida Sans Unicode"/>
            <w:sz w:val="20"/>
          </w:rPr>
          <w:tab/>
        </w:r>
        <w:r>
          <w:rPr>
            <w:rFonts w:ascii="Lucida Sans Unicode"/>
            <w:spacing w:val="-5"/>
            <w:sz w:val="20"/>
          </w:rPr>
          <w:t>29</w:t>
        </w:r>
      </w:hyperlink>
    </w:p>
    <w:p>
      <w:pPr>
        <w:tabs>
          <w:tab w:pos="8263" w:val="left" w:leader="dot"/>
        </w:tabs>
        <w:spacing w:before="144"/>
        <w:ind w:left="566" w:right="0" w:firstLine="0"/>
        <w:jc w:val="left"/>
        <w:rPr>
          <w:rFonts w:ascii="Lucida Sans Unicode"/>
          <w:sz w:val="20"/>
        </w:rPr>
      </w:pPr>
      <w:hyperlink w:history="true" w:anchor="_bookmark23">
        <w:r>
          <w:rPr>
            <w:rFonts w:ascii="Lucida Sans Unicode"/>
            <w:sz w:val="20"/>
          </w:rPr>
          <w:t>Tabel</w:t>
        </w:r>
        <w:r>
          <w:rPr>
            <w:rFonts w:ascii="Lucida Sans Unicode"/>
            <w:spacing w:val="-6"/>
            <w:sz w:val="20"/>
          </w:rPr>
          <w:t> </w:t>
        </w:r>
        <w:r>
          <w:rPr>
            <w:rFonts w:ascii="Lucida Sans Unicode"/>
            <w:sz w:val="20"/>
          </w:rPr>
          <w:t>2.</w:t>
        </w:r>
        <w:r>
          <w:rPr>
            <w:rFonts w:ascii="Lucida Sans Unicode"/>
            <w:spacing w:val="-5"/>
            <w:sz w:val="20"/>
          </w:rPr>
          <w:t> </w:t>
        </w:r>
        <w:r>
          <w:rPr>
            <w:rFonts w:ascii="Lucida Sans Unicode"/>
            <w:sz w:val="20"/>
          </w:rPr>
          <w:t>Komponen</w:t>
        </w:r>
        <w:r>
          <w:rPr>
            <w:rFonts w:ascii="Lucida Sans Unicode"/>
            <w:spacing w:val="-4"/>
            <w:sz w:val="20"/>
          </w:rPr>
          <w:t> </w:t>
        </w:r>
        <w:r>
          <w:rPr>
            <w:rFonts w:ascii="Lucida Sans Unicode"/>
            <w:sz w:val="20"/>
          </w:rPr>
          <w:t>Cost</w:t>
        </w:r>
        <w:r>
          <w:rPr>
            <w:rFonts w:ascii="Lucida Sans Unicode"/>
            <w:spacing w:val="-1"/>
            <w:sz w:val="20"/>
          </w:rPr>
          <w:t> </w:t>
        </w:r>
        <w:r>
          <w:rPr>
            <w:rFonts w:ascii="Lucida Sans Unicode"/>
            <w:sz w:val="20"/>
          </w:rPr>
          <w:t>Benefit</w:t>
        </w:r>
        <w:r>
          <w:rPr>
            <w:rFonts w:ascii="Lucida Sans Unicode"/>
            <w:spacing w:val="-2"/>
            <w:sz w:val="20"/>
          </w:rPr>
          <w:t> </w:t>
        </w:r>
        <w:r>
          <w:rPr>
            <w:rFonts w:ascii="Lucida Sans Unicode"/>
            <w:sz w:val="20"/>
          </w:rPr>
          <w:t>Analysis:</w:t>
        </w:r>
        <w:r>
          <w:rPr>
            <w:rFonts w:ascii="Lucida Sans Unicode"/>
            <w:spacing w:val="-4"/>
            <w:sz w:val="20"/>
          </w:rPr>
          <w:t> </w:t>
        </w:r>
        <w:r>
          <w:rPr>
            <w:rFonts w:ascii="Lucida Sans Unicode"/>
            <w:sz w:val="20"/>
          </w:rPr>
          <w:t>Potensi</w:t>
        </w:r>
        <w:r>
          <w:rPr>
            <w:rFonts w:ascii="Lucida Sans Unicode"/>
            <w:spacing w:val="-7"/>
            <w:sz w:val="20"/>
          </w:rPr>
          <w:t> </w:t>
        </w:r>
        <w:r>
          <w:rPr>
            <w:rFonts w:ascii="Lucida Sans Unicode"/>
            <w:spacing w:val="-2"/>
            <w:sz w:val="20"/>
          </w:rPr>
          <w:t>Biaya</w:t>
        </w:r>
        <w:r>
          <w:rPr>
            <w:rFonts w:ascii="Lucida Sans Unicode"/>
            <w:sz w:val="20"/>
          </w:rPr>
          <w:tab/>
        </w:r>
        <w:r>
          <w:rPr>
            <w:rFonts w:ascii="Lucida Sans Unicode"/>
            <w:spacing w:val="-5"/>
            <w:sz w:val="20"/>
          </w:rPr>
          <w:t>47</w:t>
        </w:r>
      </w:hyperlink>
    </w:p>
    <w:p>
      <w:pPr>
        <w:tabs>
          <w:tab w:pos="8249" w:val="left" w:leader="dot"/>
        </w:tabs>
        <w:spacing w:before="143"/>
        <w:ind w:left="566" w:right="0" w:firstLine="0"/>
        <w:jc w:val="left"/>
        <w:rPr>
          <w:rFonts w:ascii="Lucida Sans Unicode"/>
          <w:sz w:val="20"/>
        </w:rPr>
      </w:pPr>
      <w:hyperlink w:history="true" w:anchor="_bookmark24">
        <w:r>
          <w:rPr>
            <w:rFonts w:ascii="Lucida Sans Unicode"/>
            <w:sz w:val="20"/>
          </w:rPr>
          <w:t>Tabel</w:t>
        </w:r>
        <w:r>
          <w:rPr>
            <w:rFonts w:ascii="Lucida Sans Unicode"/>
            <w:spacing w:val="-5"/>
            <w:sz w:val="20"/>
          </w:rPr>
          <w:t> </w:t>
        </w:r>
        <w:r>
          <w:rPr>
            <w:rFonts w:ascii="Lucida Sans Unicode"/>
            <w:sz w:val="20"/>
          </w:rPr>
          <w:t>3.</w:t>
        </w:r>
        <w:r>
          <w:rPr>
            <w:rFonts w:ascii="Lucida Sans Unicode"/>
            <w:spacing w:val="-4"/>
            <w:sz w:val="20"/>
          </w:rPr>
          <w:t> </w:t>
        </w:r>
        <w:r>
          <w:rPr>
            <w:rFonts w:ascii="Lucida Sans Unicode"/>
            <w:sz w:val="20"/>
          </w:rPr>
          <w:t>Komponen</w:t>
        </w:r>
        <w:r>
          <w:rPr>
            <w:rFonts w:ascii="Lucida Sans Unicode"/>
            <w:spacing w:val="-3"/>
            <w:sz w:val="20"/>
          </w:rPr>
          <w:t> </w:t>
        </w:r>
        <w:r>
          <w:rPr>
            <w:rFonts w:ascii="Lucida Sans Unicode"/>
            <w:sz w:val="20"/>
          </w:rPr>
          <w:t>Cost</w:t>
        </w:r>
        <w:r>
          <w:rPr>
            <w:rFonts w:ascii="Lucida Sans Unicode"/>
            <w:spacing w:val="-1"/>
            <w:sz w:val="20"/>
          </w:rPr>
          <w:t> </w:t>
        </w:r>
        <w:r>
          <w:rPr>
            <w:rFonts w:ascii="Lucida Sans Unicode"/>
            <w:sz w:val="20"/>
          </w:rPr>
          <w:t>Benefit</w:t>
        </w:r>
        <w:r>
          <w:rPr>
            <w:rFonts w:ascii="Lucida Sans Unicode"/>
            <w:spacing w:val="-1"/>
            <w:sz w:val="20"/>
          </w:rPr>
          <w:t> </w:t>
        </w:r>
        <w:r>
          <w:rPr>
            <w:rFonts w:ascii="Lucida Sans Unicode"/>
            <w:sz w:val="20"/>
          </w:rPr>
          <w:t>Analysis:</w:t>
        </w:r>
        <w:r>
          <w:rPr>
            <w:rFonts w:ascii="Lucida Sans Unicode"/>
            <w:spacing w:val="-4"/>
            <w:sz w:val="20"/>
          </w:rPr>
          <w:t> </w:t>
        </w:r>
        <w:r>
          <w:rPr>
            <w:rFonts w:ascii="Lucida Sans Unicode"/>
            <w:sz w:val="20"/>
          </w:rPr>
          <w:t>Potensi</w:t>
        </w:r>
        <w:r>
          <w:rPr>
            <w:rFonts w:ascii="Lucida Sans Unicode"/>
            <w:spacing w:val="-2"/>
            <w:sz w:val="20"/>
          </w:rPr>
          <w:t> Manfaat</w:t>
        </w:r>
        <w:r>
          <w:rPr>
            <w:rFonts w:ascii="Lucida Sans Unicode"/>
            <w:sz w:val="20"/>
          </w:rPr>
          <w:tab/>
        </w:r>
        <w:r>
          <w:rPr>
            <w:rFonts w:ascii="Lucida Sans Unicode"/>
            <w:spacing w:val="-5"/>
            <w:sz w:val="20"/>
          </w:rPr>
          <w:t>48</w:t>
        </w:r>
      </w:hyperlink>
    </w:p>
    <w:p>
      <w:pPr>
        <w:tabs>
          <w:tab w:pos="8249" w:val="left" w:leader="dot"/>
        </w:tabs>
        <w:spacing w:before="144"/>
        <w:ind w:left="566" w:right="0" w:firstLine="0"/>
        <w:jc w:val="left"/>
        <w:rPr>
          <w:rFonts w:ascii="Lucida Sans Unicode"/>
          <w:sz w:val="20"/>
        </w:rPr>
      </w:pPr>
      <w:hyperlink w:history="true" w:anchor="_bookmark29">
        <w:r>
          <w:rPr>
            <w:rFonts w:ascii="Lucida Sans Unicode"/>
            <w:spacing w:val="-2"/>
            <w:w w:val="105"/>
            <w:sz w:val="20"/>
          </w:rPr>
          <w:t>Tabel</w:t>
        </w:r>
        <w:r>
          <w:rPr>
            <w:rFonts w:ascii="Lucida Sans Unicode"/>
            <w:spacing w:val="-4"/>
            <w:w w:val="105"/>
            <w:sz w:val="20"/>
          </w:rPr>
          <w:t> </w:t>
        </w:r>
        <w:r>
          <w:rPr>
            <w:rFonts w:ascii="Lucida Sans Unicode"/>
            <w:spacing w:val="-2"/>
            <w:w w:val="105"/>
            <w:sz w:val="20"/>
          </w:rPr>
          <w:t>4.</w:t>
        </w:r>
        <w:r>
          <w:rPr>
            <w:rFonts w:ascii="Lucida Sans Unicode"/>
            <w:spacing w:val="-5"/>
            <w:w w:val="105"/>
            <w:sz w:val="20"/>
          </w:rPr>
          <w:t> </w:t>
        </w:r>
        <w:r>
          <w:rPr>
            <w:rFonts w:ascii="Lucida Sans Unicode"/>
            <w:spacing w:val="-2"/>
            <w:w w:val="105"/>
            <w:sz w:val="20"/>
          </w:rPr>
          <w:t>Tahapan</w:t>
        </w:r>
        <w:r>
          <w:rPr>
            <w:rFonts w:ascii="Lucida Sans Unicode"/>
            <w:spacing w:val="-6"/>
            <w:w w:val="105"/>
            <w:sz w:val="20"/>
          </w:rPr>
          <w:t> </w:t>
        </w:r>
        <w:r>
          <w:rPr>
            <w:rFonts w:ascii="Lucida Sans Unicode"/>
            <w:spacing w:val="-2"/>
            <w:w w:val="105"/>
            <w:sz w:val="20"/>
          </w:rPr>
          <w:t>Pelaksanaan</w:t>
        </w:r>
        <w:r>
          <w:rPr>
            <w:rFonts w:ascii="Lucida Sans Unicode"/>
            <w:spacing w:val="-1"/>
            <w:w w:val="105"/>
            <w:sz w:val="20"/>
          </w:rPr>
          <w:t> </w:t>
        </w:r>
        <w:r>
          <w:rPr>
            <w:rFonts w:ascii="Lucida Sans Unicode"/>
            <w:spacing w:val="-2"/>
            <w:w w:val="105"/>
            <w:sz w:val="20"/>
          </w:rPr>
          <w:t>Kegiatan</w:t>
        </w:r>
        <w:r>
          <w:rPr>
            <w:rFonts w:ascii="Lucida Sans Unicode"/>
            <w:spacing w:val="-5"/>
            <w:w w:val="105"/>
            <w:sz w:val="20"/>
          </w:rPr>
          <w:t> </w:t>
        </w:r>
        <w:r>
          <w:rPr>
            <w:rFonts w:ascii="Lucida Sans Unicode"/>
            <w:spacing w:val="-2"/>
            <w:w w:val="105"/>
            <w:sz w:val="20"/>
          </w:rPr>
          <w:t>Penelitian</w:t>
        </w:r>
        <w:r>
          <w:rPr>
            <w:rFonts w:ascii="Lucida Sans Unicode"/>
            <w:sz w:val="20"/>
          </w:rPr>
          <w:tab/>
        </w:r>
        <w:r>
          <w:rPr>
            <w:rFonts w:ascii="Lucida Sans Unicode"/>
            <w:spacing w:val="-5"/>
            <w:w w:val="105"/>
            <w:sz w:val="20"/>
          </w:rPr>
          <w:t>55</w:t>
        </w:r>
      </w:hyperlink>
    </w:p>
    <w:p>
      <w:pPr>
        <w:tabs>
          <w:tab w:pos="8249" w:val="left" w:leader="dot"/>
        </w:tabs>
        <w:spacing w:line="348" w:lineRule="auto" w:before="145"/>
        <w:ind w:left="566" w:right="715" w:firstLine="0"/>
        <w:jc w:val="left"/>
        <w:rPr>
          <w:rFonts w:ascii="Lucida Sans Unicode"/>
          <w:sz w:val="20"/>
        </w:rPr>
      </w:pPr>
      <w:hyperlink w:history="true" w:anchor="_bookmark34">
        <w:r>
          <w:rPr>
            <w:rFonts w:ascii="Lucida Sans Unicode"/>
            <w:w w:val="105"/>
            <w:sz w:val="20"/>
          </w:rPr>
          <w:t>Tabel 5. Luas Wilayah Kecamatan dan Jumlah Desa/Kelurahan di Kabupaten</w:t>
        </w:r>
      </w:hyperlink>
      <w:r>
        <w:rPr>
          <w:rFonts w:ascii="Lucida Sans Unicode"/>
          <w:w w:val="105"/>
          <w:sz w:val="20"/>
        </w:rPr>
        <w:t> </w:t>
      </w:r>
      <w:hyperlink w:history="true" w:anchor="_bookmark34">
        <w:r>
          <w:rPr>
            <w:rFonts w:ascii="Lucida Sans Unicode"/>
            <w:w w:val="105"/>
            <w:sz w:val="20"/>
          </w:rPr>
          <w:t>Kutai Kartanegara</w:t>
        </w:r>
        <w:r>
          <w:rPr>
            <w:rFonts w:ascii="Lucida Sans Unicode"/>
            <w:sz w:val="20"/>
          </w:rPr>
          <w:tab/>
        </w:r>
        <w:r>
          <w:rPr>
            <w:rFonts w:ascii="Lucida Sans Unicode"/>
            <w:spacing w:val="-12"/>
            <w:w w:val="105"/>
            <w:sz w:val="20"/>
          </w:rPr>
          <w:t>59</w:t>
        </w:r>
      </w:hyperlink>
    </w:p>
    <w:p>
      <w:pPr>
        <w:spacing w:before="6"/>
        <w:ind w:left="566" w:right="0" w:firstLine="0"/>
        <w:jc w:val="left"/>
        <w:rPr>
          <w:rFonts w:ascii="Lucida Sans Unicode"/>
          <w:sz w:val="20"/>
        </w:rPr>
      </w:pPr>
      <w:hyperlink w:history="true" w:anchor="_bookmark40">
        <w:r>
          <w:rPr>
            <w:rFonts w:ascii="Lucida Sans Unicode"/>
            <w:spacing w:val="-2"/>
            <w:w w:val="105"/>
            <w:sz w:val="20"/>
          </w:rPr>
          <w:t>Tabel</w:t>
        </w:r>
        <w:r>
          <w:rPr>
            <w:rFonts w:ascii="Lucida Sans Unicode"/>
            <w:spacing w:val="-4"/>
            <w:w w:val="105"/>
            <w:sz w:val="20"/>
          </w:rPr>
          <w:t> </w:t>
        </w:r>
        <w:r>
          <w:rPr>
            <w:rFonts w:ascii="Lucida Sans Unicode"/>
            <w:spacing w:val="-2"/>
            <w:w w:val="105"/>
            <w:sz w:val="20"/>
          </w:rPr>
          <w:t>6.</w:t>
        </w:r>
        <w:r>
          <w:rPr>
            <w:rFonts w:ascii="Lucida Sans Unicode"/>
            <w:spacing w:val="-4"/>
            <w:w w:val="105"/>
            <w:sz w:val="20"/>
          </w:rPr>
          <w:t> </w:t>
        </w:r>
        <w:r>
          <w:rPr>
            <w:rFonts w:ascii="Lucida Sans Unicode"/>
            <w:spacing w:val="-2"/>
            <w:w w:val="105"/>
            <w:sz w:val="20"/>
          </w:rPr>
          <w:t>Luas</w:t>
        </w:r>
        <w:r>
          <w:rPr>
            <w:rFonts w:ascii="Lucida Sans Unicode"/>
            <w:spacing w:val="-8"/>
            <w:w w:val="105"/>
            <w:sz w:val="20"/>
          </w:rPr>
          <w:t> </w:t>
        </w:r>
        <w:r>
          <w:rPr>
            <w:rFonts w:ascii="Lucida Sans Unicode"/>
            <w:spacing w:val="-2"/>
            <w:w w:val="105"/>
            <w:sz w:val="20"/>
          </w:rPr>
          <w:t>Wilayah</w:t>
        </w:r>
        <w:r>
          <w:rPr>
            <w:rFonts w:ascii="Lucida Sans Unicode"/>
            <w:spacing w:val="-7"/>
            <w:w w:val="105"/>
            <w:sz w:val="20"/>
          </w:rPr>
          <w:t> </w:t>
        </w:r>
        <w:r>
          <w:rPr>
            <w:rFonts w:ascii="Lucida Sans Unicode"/>
            <w:spacing w:val="-2"/>
            <w:w w:val="105"/>
            <w:sz w:val="20"/>
          </w:rPr>
          <w:t>Kabupaten</w:t>
        </w:r>
        <w:r>
          <w:rPr>
            <w:rFonts w:ascii="Lucida Sans Unicode"/>
            <w:spacing w:val="-1"/>
            <w:w w:val="105"/>
            <w:sz w:val="20"/>
          </w:rPr>
          <w:t> </w:t>
        </w:r>
        <w:r>
          <w:rPr>
            <w:rFonts w:ascii="Lucida Sans Unicode"/>
            <w:spacing w:val="-2"/>
            <w:w w:val="105"/>
            <w:sz w:val="20"/>
          </w:rPr>
          <w:t>Kutai</w:t>
        </w:r>
        <w:r>
          <w:rPr>
            <w:rFonts w:ascii="Lucida Sans Unicode"/>
            <w:spacing w:val="-4"/>
            <w:w w:val="105"/>
            <w:sz w:val="20"/>
          </w:rPr>
          <w:t> </w:t>
        </w:r>
        <w:r>
          <w:rPr>
            <w:rFonts w:ascii="Lucida Sans Unicode"/>
            <w:spacing w:val="-2"/>
            <w:w w:val="105"/>
            <w:sz w:val="20"/>
          </w:rPr>
          <w:t>Kartanegara</w:t>
        </w:r>
        <w:r>
          <w:rPr>
            <w:rFonts w:ascii="Lucida Sans Unicode"/>
            <w:spacing w:val="-6"/>
            <w:w w:val="105"/>
            <w:sz w:val="20"/>
          </w:rPr>
          <w:t> </w:t>
        </w:r>
        <w:r>
          <w:rPr>
            <w:rFonts w:ascii="Lucida Sans Unicode"/>
            <w:spacing w:val="-2"/>
            <w:w w:val="105"/>
            <w:sz w:val="20"/>
          </w:rPr>
          <w:t>yang</w:t>
        </w:r>
        <w:r>
          <w:rPr>
            <w:rFonts w:ascii="Lucida Sans Unicode"/>
            <w:spacing w:val="-8"/>
            <w:w w:val="105"/>
            <w:sz w:val="20"/>
          </w:rPr>
          <w:t> </w:t>
        </w:r>
        <w:r>
          <w:rPr>
            <w:rFonts w:ascii="Lucida Sans Unicode"/>
            <w:spacing w:val="-2"/>
            <w:w w:val="105"/>
            <w:sz w:val="20"/>
          </w:rPr>
          <w:t>Menjadi</w:t>
        </w:r>
        <w:r>
          <w:rPr>
            <w:rFonts w:ascii="Lucida Sans Unicode"/>
            <w:spacing w:val="-3"/>
            <w:w w:val="105"/>
            <w:sz w:val="20"/>
          </w:rPr>
          <w:t> </w:t>
        </w:r>
        <w:r>
          <w:rPr>
            <w:rFonts w:ascii="Lucida Sans Unicode"/>
            <w:spacing w:val="-2"/>
            <w:w w:val="105"/>
            <w:sz w:val="20"/>
          </w:rPr>
          <w:t>Wilayah</w:t>
        </w:r>
        <w:r>
          <w:rPr>
            <w:rFonts w:ascii="Lucida Sans Unicode"/>
            <w:spacing w:val="-7"/>
            <w:w w:val="105"/>
            <w:sz w:val="20"/>
          </w:rPr>
          <w:t> </w:t>
        </w:r>
        <w:r>
          <w:rPr>
            <w:rFonts w:ascii="Lucida Sans Unicode"/>
            <w:spacing w:val="-5"/>
            <w:w w:val="105"/>
            <w:sz w:val="20"/>
          </w:rPr>
          <w:t>IKN</w:t>
        </w:r>
      </w:hyperlink>
    </w:p>
    <w:p>
      <w:pPr>
        <w:tabs>
          <w:tab w:pos="8669" w:val="left" w:leader="dot"/>
        </w:tabs>
        <w:spacing w:before="139"/>
        <w:ind w:left="566" w:right="0" w:firstLine="0"/>
        <w:jc w:val="left"/>
        <w:rPr>
          <w:rFonts w:ascii="Lucida Sans Unicode"/>
          <w:sz w:val="20"/>
        </w:rPr>
      </w:pPr>
      <w:hyperlink w:history="true" w:anchor="_bookmark40">
        <w:r>
          <w:rPr>
            <w:rFonts w:ascii="Lucida Sans Unicode"/>
            <w:spacing w:val="-10"/>
            <w:w w:val="75"/>
            <w:sz w:val="20"/>
          </w:rPr>
          <w:t>.</w:t>
        </w:r>
        <w:r>
          <w:rPr>
            <w:rFonts w:ascii="Lucida Sans Unicode"/>
            <w:sz w:val="20"/>
          </w:rPr>
          <w:tab/>
        </w:r>
        <w:r>
          <w:rPr>
            <w:rFonts w:ascii="Lucida Sans Unicode"/>
            <w:spacing w:val="-5"/>
            <w:w w:val="75"/>
            <w:sz w:val="20"/>
          </w:rPr>
          <w:t>67</w:t>
        </w:r>
      </w:hyperlink>
    </w:p>
    <w:p>
      <w:pPr>
        <w:tabs>
          <w:tab w:pos="8326" w:val="left" w:leader="dot"/>
        </w:tabs>
        <w:spacing w:before="145"/>
        <w:ind w:left="566" w:right="0" w:firstLine="0"/>
        <w:jc w:val="left"/>
        <w:rPr>
          <w:rFonts w:ascii="Lucida Sans Unicode"/>
          <w:sz w:val="20"/>
        </w:rPr>
      </w:pPr>
      <w:hyperlink w:history="true" w:anchor="_bookmark46">
        <w:r>
          <w:rPr>
            <w:rFonts w:ascii="Lucida Sans Unicode"/>
            <w:sz w:val="20"/>
          </w:rPr>
          <w:t>Tabel</w:t>
        </w:r>
        <w:r>
          <w:rPr>
            <w:rFonts w:ascii="Lucida Sans Unicode"/>
            <w:spacing w:val="1"/>
            <w:sz w:val="20"/>
          </w:rPr>
          <w:t> </w:t>
        </w:r>
        <w:r>
          <w:rPr>
            <w:rFonts w:ascii="Lucida Sans Unicode"/>
            <w:sz w:val="20"/>
          </w:rPr>
          <w:t>7.</w:t>
        </w:r>
        <w:r>
          <w:rPr>
            <w:rFonts w:ascii="Lucida Sans Unicode"/>
            <w:spacing w:val="1"/>
            <w:sz w:val="20"/>
          </w:rPr>
          <w:t> </w:t>
        </w:r>
        <w:r>
          <w:rPr>
            <w:rFonts w:ascii="Lucida Sans Unicode"/>
            <w:sz w:val="20"/>
          </w:rPr>
          <w:t>Simulasi</w:t>
        </w:r>
        <w:r>
          <w:rPr>
            <w:rFonts w:ascii="Lucida Sans Unicode"/>
            <w:spacing w:val="1"/>
            <w:sz w:val="20"/>
          </w:rPr>
          <w:t> </w:t>
        </w:r>
        <w:r>
          <w:rPr>
            <w:rFonts w:ascii="Lucida Sans Unicode"/>
            <w:sz w:val="20"/>
          </w:rPr>
          <w:t>Perubahan</w:t>
        </w:r>
        <w:r>
          <w:rPr>
            <w:rFonts w:ascii="Lucida Sans Unicode"/>
            <w:spacing w:val="2"/>
            <w:sz w:val="20"/>
          </w:rPr>
          <w:t> </w:t>
        </w:r>
        <w:r>
          <w:rPr>
            <w:rFonts w:ascii="Lucida Sans Unicode"/>
            <w:sz w:val="20"/>
          </w:rPr>
          <w:t>Data</w:t>
        </w:r>
        <w:r>
          <w:rPr>
            <w:rFonts w:ascii="Lucida Sans Unicode"/>
            <w:spacing w:val="-3"/>
            <w:sz w:val="20"/>
          </w:rPr>
          <w:t> </w:t>
        </w:r>
        <w:r>
          <w:rPr>
            <w:rFonts w:ascii="Lucida Sans Unicode"/>
            <w:sz w:val="20"/>
          </w:rPr>
          <w:t>Dasar</w:t>
        </w:r>
        <w:r>
          <w:rPr>
            <w:rFonts w:ascii="Lucida Sans Unicode"/>
            <w:spacing w:val="2"/>
            <w:sz w:val="20"/>
          </w:rPr>
          <w:t> </w:t>
        </w:r>
        <w:r>
          <w:rPr>
            <w:rFonts w:ascii="Lucida Sans Unicode"/>
            <w:sz w:val="20"/>
          </w:rPr>
          <w:t>Karena</w:t>
        </w:r>
        <w:r>
          <w:rPr>
            <w:rFonts w:ascii="Lucida Sans Unicode"/>
            <w:spacing w:val="1"/>
            <w:sz w:val="20"/>
          </w:rPr>
          <w:t> </w:t>
        </w:r>
        <w:r>
          <w:rPr>
            <w:rFonts w:ascii="Lucida Sans Unicode"/>
            <w:spacing w:val="-5"/>
            <w:sz w:val="20"/>
          </w:rPr>
          <w:t>IKN</w:t>
        </w:r>
        <w:r>
          <w:rPr>
            <w:rFonts w:ascii="Lucida Sans Unicode"/>
            <w:sz w:val="20"/>
          </w:rPr>
          <w:tab/>
        </w:r>
        <w:r>
          <w:rPr>
            <w:rFonts w:ascii="Lucida Sans Unicode"/>
            <w:spacing w:val="-5"/>
            <w:sz w:val="20"/>
          </w:rPr>
          <w:t>71</w:t>
        </w:r>
      </w:hyperlink>
    </w:p>
    <w:p>
      <w:pPr>
        <w:tabs>
          <w:tab w:pos="8273" w:val="left" w:leader="dot"/>
        </w:tabs>
        <w:spacing w:line="352" w:lineRule="auto" w:before="143"/>
        <w:ind w:left="566" w:right="720" w:firstLine="0"/>
        <w:jc w:val="left"/>
        <w:rPr>
          <w:rFonts w:ascii="Lucida Sans Unicode"/>
          <w:sz w:val="20"/>
        </w:rPr>
      </w:pPr>
      <w:hyperlink w:history="true" w:anchor="_bookmark47">
        <w:r>
          <w:rPr>
            <w:rFonts w:ascii="Lucida Sans Unicode"/>
            <w:w w:val="105"/>
            <w:sz w:val="20"/>
          </w:rPr>
          <w:t>Tabel</w:t>
        </w:r>
        <w:r>
          <w:rPr>
            <w:rFonts w:ascii="Lucida Sans Unicode"/>
            <w:spacing w:val="-4"/>
            <w:w w:val="105"/>
            <w:sz w:val="20"/>
          </w:rPr>
          <w:t> </w:t>
        </w:r>
        <w:r>
          <w:rPr>
            <w:rFonts w:ascii="Lucida Sans Unicode"/>
            <w:w w:val="105"/>
            <w:sz w:val="20"/>
          </w:rPr>
          <w:t>8.</w:t>
        </w:r>
        <w:r>
          <w:rPr>
            <w:rFonts w:ascii="Lucida Sans Unicode"/>
            <w:spacing w:val="-4"/>
            <w:w w:val="105"/>
            <w:sz w:val="20"/>
          </w:rPr>
          <w:t> </w:t>
        </w:r>
        <w:r>
          <w:rPr>
            <w:rFonts w:ascii="Lucida Sans Unicode"/>
            <w:w w:val="105"/>
            <w:sz w:val="20"/>
          </w:rPr>
          <w:t>Prediksi</w:t>
        </w:r>
        <w:r>
          <w:rPr>
            <w:rFonts w:ascii="Lucida Sans Unicode"/>
            <w:spacing w:val="-4"/>
            <w:w w:val="105"/>
            <w:sz w:val="20"/>
          </w:rPr>
          <w:t> </w:t>
        </w:r>
        <w:r>
          <w:rPr>
            <w:rFonts w:ascii="Lucida Sans Unicode"/>
            <w:w w:val="105"/>
            <w:sz w:val="20"/>
          </w:rPr>
          <w:t>Penurunan</w:t>
        </w:r>
        <w:r>
          <w:rPr>
            <w:rFonts w:ascii="Lucida Sans Unicode"/>
            <w:spacing w:val="-6"/>
            <w:w w:val="105"/>
            <w:sz w:val="20"/>
          </w:rPr>
          <w:t> </w:t>
        </w:r>
        <w:r>
          <w:rPr>
            <w:rFonts w:ascii="Lucida Sans Unicode"/>
            <w:w w:val="105"/>
            <w:sz w:val="20"/>
          </w:rPr>
          <w:t>Pendapatan</w:t>
        </w:r>
        <w:r>
          <w:rPr>
            <w:rFonts w:ascii="Lucida Sans Unicode"/>
            <w:spacing w:val="-6"/>
            <w:w w:val="105"/>
            <w:sz w:val="20"/>
          </w:rPr>
          <w:t> </w:t>
        </w:r>
        <w:r>
          <w:rPr>
            <w:rFonts w:ascii="Lucida Sans Unicode"/>
            <w:w w:val="105"/>
            <w:sz w:val="20"/>
          </w:rPr>
          <w:t>Daerah</w:t>
        </w:r>
        <w:r>
          <w:rPr>
            <w:rFonts w:ascii="Lucida Sans Unicode"/>
            <w:spacing w:val="-3"/>
            <w:w w:val="105"/>
            <w:sz w:val="20"/>
          </w:rPr>
          <w:t> </w:t>
        </w:r>
        <w:r>
          <w:rPr>
            <w:rFonts w:ascii="Lucida Sans Unicode"/>
            <w:w w:val="105"/>
            <w:sz w:val="20"/>
          </w:rPr>
          <w:t>Kabupaten</w:t>
        </w:r>
        <w:r>
          <w:rPr>
            <w:rFonts w:ascii="Lucida Sans Unicode"/>
            <w:spacing w:val="-6"/>
            <w:w w:val="105"/>
            <w:sz w:val="20"/>
          </w:rPr>
          <w:t> </w:t>
        </w:r>
        <w:r>
          <w:rPr>
            <w:rFonts w:ascii="Lucida Sans Unicode"/>
            <w:w w:val="105"/>
            <w:sz w:val="20"/>
          </w:rPr>
          <w:t>Kutai</w:t>
        </w:r>
        <w:r>
          <w:rPr>
            <w:rFonts w:ascii="Lucida Sans Unicode"/>
            <w:spacing w:val="-4"/>
            <w:w w:val="105"/>
            <w:sz w:val="20"/>
          </w:rPr>
          <w:t> </w:t>
        </w:r>
        <w:r>
          <w:rPr>
            <w:rFonts w:ascii="Lucida Sans Unicode"/>
            <w:w w:val="105"/>
            <w:sz w:val="20"/>
          </w:rPr>
          <w:t>Kartanegara</w:t>
        </w:r>
      </w:hyperlink>
      <w:r>
        <w:rPr>
          <w:rFonts w:ascii="Lucida Sans Unicode"/>
          <w:w w:val="105"/>
          <w:sz w:val="20"/>
        </w:rPr>
        <w:t> </w:t>
      </w:r>
      <w:hyperlink w:history="true" w:anchor="_bookmark47">
        <w:r>
          <w:rPr>
            <w:rFonts w:ascii="Lucida Sans Unicode"/>
            <w:sz w:val="20"/>
          </w:rPr>
          <w:t>Akibat</w:t>
        </w:r>
        <w:r>
          <w:rPr>
            <w:rFonts w:ascii="Lucida Sans Unicode"/>
            <w:spacing w:val="16"/>
            <w:sz w:val="20"/>
          </w:rPr>
          <w:t> </w:t>
        </w:r>
        <w:r>
          <w:rPr>
            <w:rFonts w:ascii="Lucida Sans Unicode"/>
            <w:sz w:val="20"/>
          </w:rPr>
          <w:t>Dampak</w:t>
        </w:r>
        <w:r>
          <w:rPr>
            <w:rFonts w:ascii="Lucida Sans Unicode"/>
            <w:spacing w:val="15"/>
            <w:sz w:val="20"/>
          </w:rPr>
          <w:t> </w:t>
        </w:r>
        <w:r>
          <w:rPr>
            <w:rFonts w:ascii="Lucida Sans Unicode"/>
            <w:sz w:val="20"/>
          </w:rPr>
          <w:t>IKN</w:t>
        </w:r>
        <w:r>
          <w:rPr>
            <w:rFonts w:ascii="Lucida Sans Unicode"/>
            <w:spacing w:val="9"/>
            <w:sz w:val="20"/>
          </w:rPr>
          <w:t> </w:t>
        </w:r>
        <w:r>
          <w:rPr>
            <w:rFonts w:ascii="Lucida Sans Unicode"/>
            <w:sz w:val="20"/>
          </w:rPr>
          <w:t>(dalam</w:t>
        </w:r>
        <w:r>
          <w:rPr>
            <w:rFonts w:ascii="Lucida Sans Unicode"/>
            <w:spacing w:val="13"/>
            <w:sz w:val="20"/>
          </w:rPr>
          <w:t> </w:t>
        </w:r>
        <w:r>
          <w:rPr>
            <w:rFonts w:ascii="Lucida Sans Unicode"/>
            <w:sz w:val="20"/>
          </w:rPr>
          <w:t>Miliar</w:t>
        </w:r>
        <w:r>
          <w:rPr>
            <w:rFonts w:ascii="Lucida Sans Unicode"/>
            <w:spacing w:val="13"/>
            <w:sz w:val="20"/>
          </w:rPr>
          <w:t> </w:t>
        </w:r>
        <w:r>
          <w:rPr>
            <w:rFonts w:ascii="Lucida Sans Unicode"/>
            <w:spacing w:val="-2"/>
            <w:sz w:val="20"/>
          </w:rPr>
          <w:t>rupiah)</w:t>
        </w:r>
        <w:r>
          <w:rPr>
            <w:rFonts w:ascii="Lucida Sans Unicode"/>
            <w:sz w:val="20"/>
          </w:rPr>
          <w:tab/>
        </w:r>
        <w:r>
          <w:rPr>
            <w:rFonts w:ascii="Lucida Sans Unicode"/>
            <w:spacing w:val="-20"/>
            <w:sz w:val="20"/>
          </w:rPr>
          <w:t>72</w:t>
        </w:r>
      </w:hyperlink>
    </w:p>
    <w:p>
      <w:pPr>
        <w:tabs>
          <w:tab w:pos="8273" w:val="left" w:leader="dot"/>
        </w:tabs>
        <w:spacing w:before="24"/>
        <w:ind w:left="566" w:right="0" w:firstLine="0"/>
        <w:jc w:val="left"/>
        <w:rPr>
          <w:rFonts w:ascii="Lucida Sans Unicode"/>
          <w:sz w:val="20"/>
        </w:rPr>
      </w:pPr>
      <w:hyperlink w:history="true" w:anchor="_bookmark48">
        <w:r>
          <w:rPr>
            <w:rFonts w:ascii="Lucida Sans Unicode"/>
            <w:sz w:val="20"/>
          </w:rPr>
          <w:t>Tabel</w:t>
        </w:r>
        <w:r>
          <w:rPr>
            <w:rFonts w:ascii="Lucida Sans Unicode"/>
            <w:spacing w:val="-4"/>
            <w:sz w:val="20"/>
          </w:rPr>
          <w:t> </w:t>
        </w:r>
        <w:r>
          <w:rPr>
            <w:rFonts w:ascii="Lucida Sans Unicode"/>
            <w:sz w:val="20"/>
          </w:rPr>
          <w:t>9.</w:t>
        </w:r>
        <w:r>
          <w:rPr>
            <w:rFonts w:ascii="Lucida Sans Unicode"/>
            <w:spacing w:val="-2"/>
            <w:sz w:val="20"/>
          </w:rPr>
          <w:t> </w:t>
        </w:r>
        <w:r>
          <w:rPr>
            <w:rFonts w:ascii="Lucida Sans Unicode"/>
            <w:sz w:val="20"/>
          </w:rPr>
          <w:t>Estimasi</w:t>
        </w:r>
        <w:r>
          <w:rPr>
            <w:rFonts w:ascii="Lucida Sans Unicode"/>
            <w:spacing w:val="-1"/>
            <w:sz w:val="20"/>
          </w:rPr>
          <w:t> </w:t>
        </w:r>
        <w:r>
          <w:rPr>
            <w:rFonts w:ascii="Lucida Sans Unicode"/>
            <w:sz w:val="20"/>
          </w:rPr>
          <w:t>Dampak</w:t>
        </w:r>
        <w:r>
          <w:rPr>
            <w:rFonts w:ascii="Lucida Sans Unicode"/>
            <w:spacing w:val="2"/>
            <w:sz w:val="20"/>
          </w:rPr>
          <w:t> </w:t>
        </w:r>
        <w:r>
          <w:rPr>
            <w:rFonts w:ascii="Lucida Sans Unicode"/>
            <w:sz w:val="20"/>
          </w:rPr>
          <w:t>DAK</w:t>
        </w:r>
        <w:r>
          <w:rPr>
            <w:rFonts w:ascii="Lucida Sans Unicode"/>
            <w:spacing w:val="-2"/>
            <w:sz w:val="20"/>
          </w:rPr>
          <w:t> </w:t>
        </w:r>
        <w:r>
          <w:rPr>
            <w:rFonts w:ascii="Lucida Sans Unicode"/>
            <w:sz w:val="20"/>
          </w:rPr>
          <w:t>Fisik</w:t>
        </w:r>
        <w:r>
          <w:rPr>
            <w:rFonts w:ascii="Lucida Sans Unicode"/>
            <w:spacing w:val="2"/>
            <w:sz w:val="20"/>
          </w:rPr>
          <w:t> </w:t>
        </w:r>
        <w:r>
          <w:rPr>
            <w:rFonts w:ascii="Lucida Sans Unicode"/>
            <w:sz w:val="20"/>
          </w:rPr>
          <w:t>Karena</w:t>
        </w:r>
        <w:r>
          <w:rPr>
            <w:rFonts w:ascii="Lucida Sans Unicode"/>
            <w:spacing w:val="-2"/>
            <w:sz w:val="20"/>
          </w:rPr>
          <w:t> </w:t>
        </w:r>
        <w:r>
          <w:rPr>
            <w:rFonts w:ascii="Lucida Sans Unicode"/>
            <w:sz w:val="20"/>
          </w:rPr>
          <w:t>IKN (dalam</w:t>
        </w:r>
        <w:r>
          <w:rPr>
            <w:rFonts w:ascii="Lucida Sans Unicode"/>
            <w:spacing w:val="-2"/>
            <w:sz w:val="20"/>
          </w:rPr>
          <w:t> Rupiah)</w:t>
        </w:r>
        <w:r>
          <w:rPr>
            <w:rFonts w:ascii="Lucida Sans Unicode"/>
            <w:sz w:val="20"/>
          </w:rPr>
          <w:tab/>
        </w:r>
        <w:r>
          <w:rPr>
            <w:rFonts w:ascii="Lucida Sans Unicode"/>
            <w:spacing w:val="-5"/>
            <w:sz w:val="20"/>
          </w:rPr>
          <w:t>73</w:t>
        </w:r>
      </w:hyperlink>
    </w:p>
    <w:p>
      <w:pPr>
        <w:tabs>
          <w:tab w:pos="8249" w:val="left" w:leader="dot"/>
        </w:tabs>
        <w:spacing w:before="115"/>
        <w:ind w:left="566" w:right="0" w:firstLine="0"/>
        <w:jc w:val="left"/>
        <w:rPr>
          <w:rFonts w:ascii="Lucida Sans Unicode"/>
          <w:sz w:val="20"/>
        </w:rPr>
      </w:pPr>
      <w:hyperlink w:history="true" w:anchor="_bookmark52">
        <w:r>
          <w:rPr>
            <w:rFonts w:ascii="Lucida Sans Unicode"/>
            <w:sz w:val="20"/>
          </w:rPr>
          <w:t>Tabel 10.</w:t>
        </w:r>
        <w:r>
          <w:rPr>
            <w:rFonts w:ascii="Lucida Sans Unicode"/>
            <w:spacing w:val="1"/>
            <w:sz w:val="20"/>
          </w:rPr>
          <w:t> </w:t>
        </w:r>
        <w:r>
          <w:rPr>
            <w:rFonts w:ascii="Lucida Sans Unicode"/>
            <w:sz w:val="20"/>
          </w:rPr>
          <w:t>Jumlah</w:t>
        </w:r>
        <w:r>
          <w:rPr>
            <w:rFonts w:ascii="Lucida Sans Unicode"/>
            <w:spacing w:val="-3"/>
            <w:sz w:val="20"/>
          </w:rPr>
          <w:t> </w:t>
        </w:r>
        <w:r>
          <w:rPr>
            <w:rFonts w:ascii="Lucida Sans Unicode"/>
            <w:sz w:val="20"/>
          </w:rPr>
          <w:t>Desa</w:t>
        </w:r>
        <w:r>
          <w:rPr>
            <w:rFonts w:ascii="Lucida Sans Unicode"/>
            <w:spacing w:val="3"/>
            <w:sz w:val="20"/>
          </w:rPr>
          <w:t> </w:t>
        </w:r>
        <w:r>
          <w:rPr>
            <w:rFonts w:ascii="Lucida Sans Unicode"/>
            <w:sz w:val="20"/>
          </w:rPr>
          <w:t>di</w:t>
        </w:r>
        <w:r>
          <w:rPr>
            <w:rFonts w:ascii="Lucida Sans Unicode"/>
            <w:spacing w:val="1"/>
            <w:sz w:val="20"/>
          </w:rPr>
          <w:t> </w:t>
        </w:r>
        <w:r>
          <w:rPr>
            <w:rFonts w:ascii="Lucida Sans Unicode"/>
            <w:sz w:val="20"/>
          </w:rPr>
          <w:t>Kabupaten</w:t>
        </w:r>
        <w:r>
          <w:rPr>
            <w:rFonts w:ascii="Lucida Sans Unicode"/>
            <w:spacing w:val="2"/>
            <w:sz w:val="20"/>
          </w:rPr>
          <w:t> </w:t>
        </w:r>
        <w:r>
          <w:rPr>
            <w:rFonts w:ascii="Lucida Sans Unicode"/>
            <w:sz w:val="20"/>
          </w:rPr>
          <w:t>Kutai</w:t>
        </w:r>
        <w:r>
          <w:rPr>
            <w:rFonts w:ascii="Lucida Sans Unicode"/>
            <w:spacing w:val="2"/>
            <w:sz w:val="20"/>
          </w:rPr>
          <w:t> </w:t>
        </w:r>
        <w:r>
          <w:rPr>
            <w:rFonts w:ascii="Lucida Sans Unicode"/>
            <w:sz w:val="20"/>
          </w:rPr>
          <w:t>Kartanegara</w:t>
        </w:r>
        <w:r>
          <w:rPr>
            <w:rFonts w:ascii="Lucida Sans Unicode"/>
            <w:spacing w:val="-2"/>
            <w:sz w:val="20"/>
          </w:rPr>
          <w:t> </w:t>
        </w:r>
        <w:r>
          <w:rPr>
            <w:rFonts w:ascii="Lucida Sans Unicode"/>
            <w:sz w:val="20"/>
          </w:rPr>
          <w:t>Masuk</w:t>
        </w:r>
        <w:r>
          <w:rPr>
            <w:rFonts w:ascii="Lucida Sans Unicode"/>
            <w:spacing w:val="5"/>
            <w:sz w:val="20"/>
          </w:rPr>
          <w:t> </w:t>
        </w:r>
        <w:r>
          <w:rPr>
            <w:rFonts w:ascii="Lucida Sans Unicode"/>
            <w:spacing w:val="-5"/>
            <w:sz w:val="20"/>
          </w:rPr>
          <w:t>IKN</w:t>
        </w:r>
        <w:r>
          <w:rPr>
            <w:rFonts w:ascii="Lucida Sans Unicode"/>
            <w:sz w:val="20"/>
          </w:rPr>
          <w:tab/>
        </w:r>
        <w:r>
          <w:rPr>
            <w:rFonts w:ascii="Lucida Sans Unicode"/>
            <w:spacing w:val="-5"/>
            <w:sz w:val="20"/>
          </w:rPr>
          <w:t>84</w:t>
        </w:r>
      </w:hyperlink>
    </w:p>
    <w:p>
      <w:pPr>
        <w:tabs>
          <w:tab w:pos="8249" w:val="left" w:leader="dot"/>
        </w:tabs>
        <w:spacing w:before="144"/>
        <w:ind w:left="566" w:right="0" w:firstLine="0"/>
        <w:jc w:val="left"/>
        <w:rPr>
          <w:rFonts w:ascii="Lucida Sans Unicode"/>
          <w:sz w:val="20"/>
        </w:rPr>
      </w:pPr>
      <w:hyperlink w:history="true" w:anchor="_bookmark53">
        <w:r>
          <w:rPr>
            <w:rFonts w:ascii="Lucida Sans Unicode"/>
            <w:sz w:val="20"/>
          </w:rPr>
          <w:t>Tabel</w:t>
        </w:r>
        <w:r>
          <w:rPr>
            <w:rFonts w:ascii="Lucida Sans Unicode"/>
            <w:spacing w:val="-16"/>
            <w:sz w:val="20"/>
          </w:rPr>
          <w:t> </w:t>
        </w:r>
        <w:r>
          <w:rPr>
            <w:rFonts w:ascii="Lucida Sans Unicode"/>
            <w:sz w:val="20"/>
          </w:rPr>
          <w:t>11.</w:t>
        </w:r>
        <w:r>
          <w:rPr>
            <w:rFonts w:ascii="Lucida Sans Unicode"/>
            <w:spacing w:val="-10"/>
            <w:sz w:val="20"/>
          </w:rPr>
          <w:t> </w:t>
        </w:r>
        <w:r>
          <w:rPr>
            <w:rFonts w:ascii="Lucida Sans Unicode"/>
            <w:sz w:val="20"/>
          </w:rPr>
          <w:t>Kebutuhan</w:t>
        </w:r>
        <w:r>
          <w:rPr>
            <w:rFonts w:ascii="Lucida Sans Unicode"/>
            <w:spacing w:val="-14"/>
            <w:sz w:val="20"/>
          </w:rPr>
          <w:t> </w:t>
        </w:r>
        <w:r>
          <w:rPr>
            <w:rFonts w:ascii="Lucida Sans Unicode"/>
            <w:sz w:val="20"/>
          </w:rPr>
          <w:t>Peningkatan</w:t>
        </w:r>
        <w:r>
          <w:rPr>
            <w:rFonts w:ascii="Lucida Sans Unicode"/>
            <w:spacing w:val="-10"/>
            <w:sz w:val="20"/>
          </w:rPr>
          <w:t> </w:t>
        </w:r>
        <w:r>
          <w:rPr>
            <w:rFonts w:ascii="Lucida Sans Unicode"/>
            <w:sz w:val="20"/>
          </w:rPr>
          <w:t>Kualitas</w:t>
        </w:r>
        <w:r>
          <w:rPr>
            <w:rFonts w:ascii="Lucida Sans Unicode"/>
            <w:spacing w:val="-16"/>
            <w:sz w:val="20"/>
          </w:rPr>
          <w:t> </w:t>
        </w:r>
        <w:r>
          <w:rPr>
            <w:rFonts w:ascii="Lucida Sans Unicode"/>
            <w:sz w:val="20"/>
          </w:rPr>
          <w:t>SDM</w:t>
        </w:r>
        <w:r>
          <w:rPr>
            <w:rFonts w:ascii="Lucida Sans Unicode"/>
            <w:spacing w:val="-11"/>
            <w:sz w:val="20"/>
          </w:rPr>
          <w:t> </w:t>
        </w:r>
        <w:r>
          <w:rPr>
            <w:rFonts w:ascii="Lucida Sans Unicode"/>
            <w:spacing w:val="-2"/>
            <w:sz w:val="20"/>
          </w:rPr>
          <w:t>Aparatur</w:t>
        </w:r>
        <w:r>
          <w:rPr>
            <w:rFonts w:ascii="Lucida Sans Unicode"/>
            <w:sz w:val="20"/>
          </w:rPr>
          <w:tab/>
        </w:r>
        <w:r>
          <w:rPr>
            <w:rFonts w:ascii="Lucida Sans Unicode"/>
            <w:spacing w:val="-5"/>
            <w:sz w:val="20"/>
          </w:rPr>
          <w:t>89</w:t>
        </w:r>
      </w:hyperlink>
    </w:p>
    <w:p>
      <w:pPr>
        <w:tabs>
          <w:tab w:pos="8182" w:val="left" w:leader="dot"/>
        </w:tabs>
        <w:spacing w:line="348" w:lineRule="auto" w:before="144"/>
        <w:ind w:left="566" w:right="723" w:firstLine="0"/>
        <w:jc w:val="left"/>
        <w:rPr>
          <w:rFonts w:ascii="Lucida Sans Unicode"/>
          <w:sz w:val="20"/>
        </w:rPr>
      </w:pPr>
      <w:hyperlink w:history="true" w:anchor="_bookmark55">
        <w:r>
          <w:rPr>
            <w:rFonts w:ascii="Lucida Sans Unicode"/>
            <w:w w:val="105"/>
            <w:sz w:val="20"/>
          </w:rPr>
          <w:t>Tabel 12. Data Tenaga Kerja Perusahaan Tambang Batubara di Kutai</w:t>
        </w:r>
      </w:hyperlink>
      <w:r>
        <w:rPr>
          <w:rFonts w:ascii="Lucida Sans Unicode"/>
          <w:w w:val="105"/>
          <w:sz w:val="20"/>
        </w:rPr>
        <w:t> </w:t>
      </w:r>
      <w:hyperlink w:history="true" w:anchor="_bookmark55">
        <w:r>
          <w:rPr>
            <w:rFonts w:ascii="Lucida Sans Unicode"/>
            <w:spacing w:val="-2"/>
            <w:w w:val="105"/>
            <w:sz w:val="20"/>
          </w:rPr>
          <w:t>Kartanegara</w:t>
        </w:r>
        <w:r>
          <w:rPr>
            <w:rFonts w:ascii="Lucida Sans Unicode"/>
            <w:sz w:val="20"/>
          </w:rPr>
          <w:tab/>
        </w:r>
        <w:r>
          <w:rPr>
            <w:rFonts w:ascii="Lucida Sans Unicode"/>
            <w:spacing w:val="-8"/>
            <w:w w:val="85"/>
            <w:sz w:val="20"/>
          </w:rPr>
          <w:t>100</w:t>
        </w:r>
      </w:hyperlink>
    </w:p>
    <w:p>
      <w:pPr>
        <w:tabs>
          <w:tab w:pos="8244" w:val="left" w:leader="dot"/>
        </w:tabs>
        <w:spacing w:line="348" w:lineRule="auto" w:before="6"/>
        <w:ind w:left="566" w:right="725" w:firstLine="0"/>
        <w:jc w:val="left"/>
        <w:rPr>
          <w:rFonts w:ascii="Lucida Sans Unicode"/>
          <w:sz w:val="20"/>
        </w:rPr>
      </w:pPr>
      <w:hyperlink w:history="true" w:anchor="_bookmark62">
        <w:r>
          <w:rPr>
            <w:rFonts w:ascii="Lucida Sans Unicode"/>
            <w:sz w:val="20"/>
          </w:rPr>
          <w:t>Tabel 13. Estimasi luas wilayah 6 kecamatan di Kabupaten Kutai Kartanegara</w:t>
        </w:r>
      </w:hyperlink>
      <w:r>
        <w:rPr>
          <w:rFonts w:ascii="Lucida Sans Unicode"/>
          <w:sz w:val="20"/>
        </w:rPr>
        <w:t> </w:t>
      </w:r>
      <w:hyperlink w:history="true" w:anchor="_bookmark62">
        <w:r>
          <w:rPr>
            <w:rFonts w:ascii="Lucida Sans Unicode"/>
            <w:sz w:val="20"/>
          </w:rPr>
          <w:t>yang masuk ke Kawasan Pengembangan IKN</w:t>
          <w:tab/>
        </w:r>
        <w:r>
          <w:rPr>
            <w:rFonts w:ascii="Lucida Sans Unicode"/>
            <w:spacing w:val="-10"/>
            <w:w w:val="70"/>
            <w:sz w:val="20"/>
          </w:rPr>
          <w:t>116</w:t>
        </w:r>
      </w:hyperlink>
    </w:p>
    <w:p>
      <w:pPr>
        <w:tabs>
          <w:tab w:pos="8258" w:val="left" w:leader="dot"/>
        </w:tabs>
        <w:spacing w:line="348" w:lineRule="auto" w:before="7"/>
        <w:ind w:left="566" w:right="711" w:firstLine="0"/>
        <w:jc w:val="left"/>
        <w:rPr>
          <w:rFonts w:ascii="Lucida Sans Unicode"/>
          <w:sz w:val="20"/>
        </w:rPr>
      </w:pPr>
      <w:hyperlink w:history="true" w:anchor="_bookmark67">
        <w:r>
          <w:rPr>
            <w:rFonts w:ascii="Lucida Sans Unicode"/>
            <w:sz w:val="20"/>
          </w:rPr>
          <w:t>Tabel 14. Jumlah Fasilitas Pendidikan di 6 Kecamatan Kabupaten Kutai</w:t>
        </w:r>
      </w:hyperlink>
      <w:r>
        <w:rPr>
          <w:rFonts w:ascii="Lucida Sans Unicode"/>
          <w:sz w:val="20"/>
        </w:rPr>
        <w:t> </w:t>
      </w:r>
      <w:hyperlink w:history="true" w:anchor="_bookmark67">
        <w:r>
          <w:rPr>
            <w:rFonts w:ascii="Lucida Sans Unicode"/>
            <w:spacing w:val="-2"/>
            <w:sz w:val="20"/>
          </w:rPr>
          <w:t>Kartanegara</w:t>
        </w:r>
        <w:r>
          <w:rPr>
            <w:rFonts w:ascii="Lucida Sans Unicode"/>
            <w:sz w:val="20"/>
          </w:rPr>
          <w:tab/>
        </w:r>
        <w:r>
          <w:rPr>
            <w:rFonts w:ascii="Lucida Sans Unicode"/>
            <w:spacing w:val="-4"/>
            <w:w w:val="65"/>
            <w:sz w:val="20"/>
          </w:rPr>
          <w:t>121</w:t>
        </w:r>
      </w:hyperlink>
    </w:p>
    <w:p>
      <w:pPr>
        <w:tabs>
          <w:tab w:pos="8254" w:val="left" w:leader="dot"/>
        </w:tabs>
        <w:spacing w:before="7"/>
        <w:ind w:left="566" w:right="0" w:firstLine="0"/>
        <w:jc w:val="left"/>
        <w:rPr>
          <w:rFonts w:ascii="Lucida Sans Unicode"/>
          <w:sz w:val="20"/>
        </w:rPr>
      </w:pPr>
      <w:hyperlink w:history="true" w:anchor="_bookmark76">
        <w:r>
          <w:rPr>
            <w:rFonts w:ascii="Lucida Sans Unicode"/>
            <w:spacing w:val="-2"/>
            <w:sz w:val="20"/>
          </w:rPr>
          <w:t>Tabel</w:t>
        </w:r>
        <w:r>
          <w:rPr>
            <w:rFonts w:ascii="Lucida Sans Unicode"/>
            <w:spacing w:val="-9"/>
            <w:sz w:val="20"/>
          </w:rPr>
          <w:t> </w:t>
        </w:r>
        <w:r>
          <w:rPr>
            <w:rFonts w:ascii="Lucida Sans Unicode"/>
            <w:spacing w:val="-2"/>
            <w:sz w:val="20"/>
          </w:rPr>
          <w:t>15.</w:t>
        </w:r>
        <w:r>
          <w:rPr>
            <w:rFonts w:ascii="Lucida Sans Unicode"/>
            <w:spacing w:val="-10"/>
            <w:sz w:val="20"/>
          </w:rPr>
          <w:t> </w:t>
        </w:r>
        <w:r>
          <w:rPr>
            <w:rFonts w:ascii="Lucida Sans Unicode"/>
            <w:spacing w:val="-2"/>
            <w:sz w:val="20"/>
          </w:rPr>
          <w:t>Pengaturan</w:t>
        </w:r>
        <w:r>
          <w:rPr>
            <w:rFonts w:ascii="Lucida Sans Unicode"/>
            <w:spacing w:val="-9"/>
            <w:sz w:val="20"/>
          </w:rPr>
          <w:t> </w:t>
        </w:r>
        <w:r>
          <w:rPr>
            <w:rFonts w:ascii="Lucida Sans Unicode"/>
            <w:spacing w:val="-2"/>
            <w:sz w:val="20"/>
          </w:rPr>
          <w:t>Hukum</w:t>
        </w:r>
        <w:r>
          <w:rPr>
            <w:rFonts w:ascii="Lucida Sans Unicode"/>
            <w:spacing w:val="-8"/>
            <w:sz w:val="20"/>
          </w:rPr>
          <w:t> </w:t>
        </w:r>
        <w:r>
          <w:rPr>
            <w:rFonts w:ascii="Lucida Sans Unicode"/>
            <w:spacing w:val="-2"/>
            <w:sz w:val="20"/>
          </w:rPr>
          <w:t>Terkait</w:t>
        </w:r>
        <w:r>
          <w:rPr>
            <w:rFonts w:ascii="Lucida Sans Unicode"/>
            <w:spacing w:val="-6"/>
            <w:sz w:val="20"/>
          </w:rPr>
          <w:t> </w:t>
        </w:r>
        <w:r>
          <w:rPr>
            <w:rFonts w:ascii="Lucida Sans Unicode"/>
            <w:spacing w:val="-5"/>
            <w:sz w:val="20"/>
          </w:rPr>
          <w:t>IKN</w:t>
        </w:r>
        <w:r>
          <w:rPr>
            <w:rFonts w:ascii="Lucida Sans Unicode"/>
            <w:sz w:val="20"/>
          </w:rPr>
          <w:tab/>
        </w:r>
        <w:r>
          <w:rPr>
            <w:rFonts w:ascii="Lucida Sans Unicode"/>
            <w:spacing w:val="-5"/>
            <w:sz w:val="20"/>
          </w:rPr>
          <w:t>131</w:t>
        </w:r>
      </w:hyperlink>
    </w:p>
    <w:p>
      <w:pPr>
        <w:spacing w:after="0"/>
        <w:jc w:val="left"/>
        <w:rPr>
          <w:rFonts w:ascii="Lucida Sans Unicode"/>
          <w:sz w:val="20"/>
        </w:rPr>
        <w:sectPr>
          <w:pgSz w:w="11910" w:h="16840"/>
          <w:pgMar w:header="0" w:footer="1447" w:top="1580" w:bottom="1640" w:left="1700" w:right="992"/>
        </w:sectPr>
      </w:pPr>
    </w:p>
    <w:p>
      <w:pPr>
        <w:pStyle w:val="Heading1"/>
        <w:spacing w:line="360" w:lineRule="auto" w:before="87"/>
        <w:ind w:left="3476" w:right="3619" w:hanging="68"/>
        <w:rPr>
          <w:rFonts w:ascii="Segoe UI"/>
        </w:rPr>
      </w:pPr>
      <w:r>
        <w:rPr>
          <w:rFonts w:ascii="Segoe UI"/>
        </w:rPr>
        <w:t>BAB I </w:t>
      </w:r>
      <w:bookmarkStart w:name="_bookmark4" w:id="5"/>
      <w:bookmarkEnd w:id="5"/>
      <w:r>
        <w:rPr>
          <w:rFonts w:ascii="Segoe UI"/>
          <w:spacing w:val="-2"/>
        </w:rPr>
        <w:t>P</w:t>
      </w:r>
      <w:r>
        <w:rPr>
          <w:rFonts w:ascii="Segoe UI"/>
          <w:spacing w:val="-2"/>
        </w:rPr>
        <w:t>ENDAHULUAN</w:t>
      </w:r>
    </w:p>
    <w:p>
      <w:pPr>
        <w:pStyle w:val="Heading2"/>
        <w:numPr>
          <w:ilvl w:val="1"/>
          <w:numId w:val="7"/>
        </w:numPr>
        <w:tabs>
          <w:tab w:pos="1039" w:val="left" w:leader="none"/>
        </w:tabs>
        <w:spacing w:line="240" w:lineRule="auto" w:before="237" w:after="0"/>
        <w:ind w:left="1039" w:right="0" w:hanging="406"/>
        <w:jc w:val="both"/>
      </w:pPr>
      <w:bookmarkStart w:name="_bookmark5" w:id="6"/>
      <w:bookmarkEnd w:id="6"/>
      <w:r>
        <w:rPr>
          <w:b w:val="0"/>
        </w:rPr>
      </w:r>
      <w:r>
        <w:rPr/>
        <w:t>Latar</w:t>
      </w:r>
      <w:r>
        <w:rPr>
          <w:spacing w:val="-12"/>
        </w:rPr>
        <w:t> </w:t>
      </w:r>
      <w:r>
        <w:rPr>
          <w:spacing w:val="-2"/>
        </w:rPr>
        <w:t>Belakang</w:t>
      </w:r>
    </w:p>
    <w:p>
      <w:pPr>
        <w:pStyle w:val="BodyText"/>
        <w:spacing w:line="360" w:lineRule="auto" w:before="223"/>
        <w:ind w:left="566" w:right="700" w:firstLine="710"/>
      </w:pPr>
      <w:r>
        <w:rPr/>
        <w:t>Kebijakan memindahkan ibu kota negara ke Nusantara melalui UU Nomor</w:t>
      </w:r>
      <w:r>
        <w:rPr>
          <w:spacing w:val="-10"/>
        </w:rPr>
        <w:t> </w:t>
      </w:r>
      <w:r>
        <w:rPr/>
        <w:t>3</w:t>
      </w:r>
      <w:r>
        <w:rPr>
          <w:spacing w:val="-7"/>
        </w:rPr>
        <w:t> </w:t>
      </w:r>
      <w:r>
        <w:rPr/>
        <w:t>Tahun</w:t>
      </w:r>
      <w:r>
        <w:rPr>
          <w:spacing w:val="-9"/>
        </w:rPr>
        <w:t> </w:t>
      </w:r>
      <w:r>
        <w:rPr/>
        <w:t>2022</w:t>
      </w:r>
      <w:r>
        <w:rPr>
          <w:spacing w:val="-7"/>
        </w:rPr>
        <w:t> </w:t>
      </w:r>
      <w:r>
        <w:rPr/>
        <w:t>tentang</w:t>
      </w:r>
      <w:r>
        <w:rPr>
          <w:spacing w:val="-10"/>
        </w:rPr>
        <w:t> </w:t>
      </w:r>
      <w:r>
        <w:rPr/>
        <w:t>Ibu</w:t>
      </w:r>
      <w:r>
        <w:rPr>
          <w:spacing w:val="-9"/>
        </w:rPr>
        <w:t> </w:t>
      </w:r>
      <w:r>
        <w:rPr/>
        <w:t>Kota</w:t>
      </w:r>
      <w:r>
        <w:rPr>
          <w:spacing w:val="-10"/>
        </w:rPr>
        <w:t> </w:t>
      </w:r>
      <w:r>
        <w:rPr/>
        <w:t>Negara</w:t>
      </w:r>
      <w:r>
        <w:rPr>
          <w:spacing w:val="-4"/>
        </w:rPr>
        <w:t> </w:t>
      </w:r>
      <w:r>
        <w:rPr/>
        <w:t>(IKN)</w:t>
      </w:r>
      <w:r>
        <w:rPr>
          <w:spacing w:val="40"/>
        </w:rPr>
        <w:t> </w:t>
      </w:r>
      <w:r>
        <w:rPr/>
        <w:t>-</w:t>
      </w:r>
      <w:r>
        <w:rPr>
          <w:spacing w:val="-8"/>
        </w:rPr>
        <w:t> </w:t>
      </w:r>
      <w:r>
        <w:rPr/>
        <w:t>yang</w:t>
      </w:r>
      <w:r>
        <w:rPr>
          <w:spacing w:val="-10"/>
        </w:rPr>
        <w:t> </w:t>
      </w:r>
      <w:r>
        <w:rPr/>
        <w:t>direvisi</w:t>
      </w:r>
      <w:r>
        <w:rPr>
          <w:spacing w:val="-8"/>
        </w:rPr>
        <w:t> </w:t>
      </w:r>
      <w:r>
        <w:rPr/>
        <w:t>dengan UU Nomor 21 Tahun 2023 – dipastikan membawa dampak kepadadaerah sekitarnya,</w:t>
      </w:r>
      <w:r>
        <w:rPr>
          <w:spacing w:val="-6"/>
        </w:rPr>
        <w:t> </w:t>
      </w:r>
      <w:r>
        <w:rPr/>
        <w:t>yang</w:t>
      </w:r>
      <w:r>
        <w:rPr>
          <w:spacing w:val="-8"/>
        </w:rPr>
        <w:t> </w:t>
      </w:r>
      <w:r>
        <w:rPr/>
        <w:t>wilayahnya</w:t>
      </w:r>
      <w:r>
        <w:rPr>
          <w:spacing w:val="-6"/>
        </w:rPr>
        <w:t> </w:t>
      </w:r>
      <w:r>
        <w:rPr/>
        <w:t>diambil</w:t>
      </w:r>
      <w:r>
        <w:rPr>
          <w:spacing w:val="-7"/>
        </w:rPr>
        <w:t> </w:t>
      </w:r>
      <w:r>
        <w:rPr/>
        <w:t>menjadi</w:t>
      </w:r>
      <w:r>
        <w:rPr>
          <w:spacing w:val="-7"/>
        </w:rPr>
        <w:t> </w:t>
      </w:r>
      <w:r>
        <w:rPr/>
        <w:t>bagian</w:t>
      </w:r>
      <w:r>
        <w:rPr>
          <w:spacing w:val="-8"/>
        </w:rPr>
        <w:t> </w:t>
      </w:r>
      <w:r>
        <w:rPr/>
        <w:t>dari</w:t>
      </w:r>
      <w:r>
        <w:rPr>
          <w:spacing w:val="-7"/>
        </w:rPr>
        <w:t> </w:t>
      </w:r>
      <w:r>
        <w:rPr/>
        <w:t>wilayah</w:t>
      </w:r>
      <w:r>
        <w:rPr>
          <w:spacing w:val="-4"/>
        </w:rPr>
        <w:t> </w:t>
      </w:r>
      <w:r>
        <w:rPr/>
        <w:t>lokasi</w:t>
      </w:r>
      <w:r>
        <w:rPr>
          <w:spacing w:val="-7"/>
        </w:rPr>
        <w:t> </w:t>
      </w:r>
      <w:r>
        <w:rPr/>
        <w:t>IKN. Daerah yang dimaksud adalah wilayah yang berstatus sebagai Provinsi Kalimantan Timur, Kabupaten Kutai Kartanegara, dan Kabupaten Penajam Paser Utara. Dampak yang terjadi dapat positif maupun negatif.</w:t>
      </w:r>
    </w:p>
    <w:p>
      <w:pPr>
        <w:pStyle w:val="BodyText"/>
        <w:spacing w:line="360" w:lineRule="auto"/>
        <w:ind w:left="566" w:right="698" w:firstLine="710"/>
      </w:pPr>
      <w:r>
        <w:rPr/>
        <w:t>Bercermin dari studi di beberapa negara, hadirnya sebuah daerah baru melalui proses pemekaran daerah menimbulkan dampak positif dan negatif.</w:t>
      </w:r>
      <w:r>
        <w:rPr>
          <w:spacing w:val="-8"/>
        </w:rPr>
        <w:t> </w:t>
      </w:r>
      <w:r>
        <w:rPr/>
        <w:t>Dampak</w:t>
      </w:r>
      <w:r>
        <w:rPr>
          <w:spacing w:val="-4"/>
        </w:rPr>
        <w:t> </w:t>
      </w:r>
      <w:r>
        <w:rPr/>
        <w:t>positif</w:t>
      </w:r>
      <w:r>
        <w:rPr>
          <w:spacing w:val="-4"/>
        </w:rPr>
        <w:t> </w:t>
      </w:r>
      <w:r>
        <w:rPr/>
        <w:t>dari</w:t>
      </w:r>
      <w:r>
        <w:rPr>
          <w:spacing w:val="-10"/>
        </w:rPr>
        <w:t> </w:t>
      </w:r>
      <w:r>
        <w:rPr/>
        <w:t>pemekaran</w:t>
      </w:r>
      <w:r>
        <w:rPr>
          <w:spacing w:val="-14"/>
        </w:rPr>
        <w:t> </w:t>
      </w:r>
      <w:r>
        <w:rPr/>
        <w:t>daerah</w:t>
      </w:r>
      <w:r>
        <w:rPr>
          <w:spacing w:val="-10"/>
        </w:rPr>
        <w:t> </w:t>
      </w:r>
      <w:r>
        <w:rPr/>
        <w:t>memperlihatkan</w:t>
      </w:r>
      <w:r>
        <w:rPr>
          <w:spacing w:val="-14"/>
        </w:rPr>
        <w:t> </w:t>
      </w:r>
      <w:r>
        <w:rPr/>
        <w:t>bekerjanya secara baik lingkungan politik dan institusi politik. Misalnya, dengan hadirnya berbagai lembaga politik pemerintah daerah dan perwakilan rakyat di daerah yang dipilih secara langsung oleh masyarakat. Namun, di beberapa negara dampak negatif dari pembentukan daerah otonom baru muncul, misalnya menimbulkan masalah defisit anggaran, penggunaan keuangan yang tidak bertanggung jawab, dan dominasi elit lokal di pemerintahan (Prasojo, 2006:3).</w:t>
      </w:r>
    </w:p>
    <w:p>
      <w:pPr>
        <w:pStyle w:val="BodyText"/>
        <w:spacing w:line="360" w:lineRule="auto" w:before="3"/>
        <w:ind w:left="566" w:right="701" w:firstLine="710"/>
      </w:pPr>
      <w:r>
        <w:rPr/>
        <w:t>Adapun defisit anggaran menjadi salah satu persoalan dalam pemekaran daerah. Defisit ini dapat terjadi pada daerah yang dimekarkan dan juga daerah induk. Sebab, daerah induk biasanya harus menyerahkan sebagian alokasi anggarannya ke daerah yang dimekarkan. Sementara, daerah yang dimekarkan belum mampu menggali secara maksimal pendapatan</w:t>
      </w:r>
      <w:r>
        <w:rPr>
          <w:spacing w:val="39"/>
        </w:rPr>
        <w:t> </w:t>
      </w:r>
      <w:r>
        <w:rPr/>
        <w:t>asli</w:t>
      </w:r>
      <w:r>
        <w:rPr>
          <w:spacing w:val="34"/>
        </w:rPr>
        <w:t> </w:t>
      </w:r>
      <w:r>
        <w:rPr/>
        <w:t>daerah</w:t>
      </w:r>
      <w:r>
        <w:rPr>
          <w:spacing w:val="34"/>
        </w:rPr>
        <w:t> </w:t>
      </w:r>
      <w:r>
        <w:rPr/>
        <w:t>untuk</w:t>
      </w:r>
      <w:r>
        <w:rPr>
          <w:spacing w:val="36"/>
        </w:rPr>
        <w:t> </w:t>
      </w:r>
      <w:r>
        <w:rPr/>
        <w:t>menutupi</w:t>
      </w:r>
      <w:r>
        <w:rPr>
          <w:spacing w:val="34"/>
        </w:rPr>
        <w:t> </w:t>
      </w:r>
      <w:r>
        <w:rPr/>
        <w:t>pengeluaran</w:t>
      </w:r>
      <w:r>
        <w:rPr>
          <w:spacing w:val="35"/>
        </w:rPr>
        <w:t> </w:t>
      </w:r>
      <w:r>
        <w:rPr/>
        <w:t>daerah</w:t>
      </w:r>
      <w:r>
        <w:rPr>
          <w:spacing w:val="34"/>
        </w:rPr>
        <w:t> </w:t>
      </w:r>
      <w:r>
        <w:rPr/>
        <w:t>yang</w:t>
      </w:r>
      <w:r>
        <w:rPr>
          <w:spacing w:val="33"/>
        </w:rPr>
        <w:t> </w:t>
      </w:r>
      <w:r>
        <w:rPr/>
        <w:t>tentu</w:t>
      </w:r>
    </w:p>
    <w:p>
      <w:pPr>
        <w:pStyle w:val="BodyText"/>
        <w:spacing w:after="0" w:line="360" w:lineRule="auto"/>
        <w:sectPr>
          <w:footerReference w:type="default" r:id="rId7"/>
          <w:pgSz w:w="11910" w:h="16840"/>
          <w:pgMar w:header="0" w:footer="1186" w:top="1820" w:bottom="1380" w:left="1700" w:right="992"/>
          <w:pgNumType w:start="1"/>
        </w:sectPr>
      </w:pPr>
    </w:p>
    <w:p>
      <w:pPr>
        <w:pStyle w:val="BodyText"/>
        <w:spacing w:line="360" w:lineRule="auto" w:before="82"/>
        <w:ind w:left="566" w:right="705"/>
      </w:pPr>
      <w:r>
        <w:rPr/>
        <w:t>cukup tinggi pada</w:t>
      </w:r>
      <w:r>
        <w:rPr>
          <w:spacing w:val="-1"/>
        </w:rPr>
        <w:t> </w:t>
      </w:r>
      <w:r>
        <w:rPr/>
        <w:t>awal pembentukan (Maulana, 2019:65). Itulah sebabnya, sebelum sebuah daerah dimekarkan dilakukan studi kelayakan pemekaran bahkan dipersiapkan daerah tersebut terlebih dahulu hingga</w:t>
      </w:r>
      <w:r>
        <w:rPr>
          <w:spacing w:val="-1"/>
        </w:rPr>
        <w:t> </w:t>
      </w:r>
      <w:r>
        <w:rPr/>
        <w:t>3 (tiga) tahun (lihat Pasal 39 ayat (2) UU Nomor 23 Tahun 2014 tentang Pemerintahan Daerah). Karena dalam prinsipnya, kebijakan menghadirkan sebuah daerah baru tidak boleh merugikan daerah induk karena kehilangan kapasitas pendapatan asli akibat hadirnya daerah otonom baru akibat pemekaran.</w:t>
      </w:r>
    </w:p>
    <w:p>
      <w:pPr>
        <w:pStyle w:val="BodyText"/>
        <w:spacing w:line="360" w:lineRule="auto" w:before="4"/>
        <w:ind w:left="566" w:right="776" w:firstLine="710"/>
      </w:pPr>
      <w:r>
        <w:rPr/>
        <w:t>Terkait</w:t>
      </w:r>
      <w:r>
        <w:rPr>
          <w:spacing w:val="-10"/>
        </w:rPr>
        <w:t> </w:t>
      </w:r>
      <w:r>
        <w:rPr/>
        <w:t>dengan</w:t>
      </w:r>
      <w:r>
        <w:rPr>
          <w:spacing w:val="-10"/>
        </w:rPr>
        <w:t> </w:t>
      </w:r>
      <w:r>
        <w:rPr/>
        <w:t>hadirnya</w:t>
      </w:r>
      <w:r>
        <w:rPr>
          <w:spacing w:val="-12"/>
        </w:rPr>
        <w:t> </w:t>
      </w:r>
      <w:r>
        <w:rPr/>
        <w:t>IKN,</w:t>
      </w:r>
      <w:r>
        <w:rPr>
          <w:spacing w:val="-5"/>
        </w:rPr>
        <w:t> </w:t>
      </w:r>
      <w:r>
        <w:rPr/>
        <w:t>Undang-undang</w:t>
      </w:r>
      <w:r>
        <w:rPr>
          <w:spacing w:val="-8"/>
        </w:rPr>
        <w:t> </w:t>
      </w:r>
      <w:r>
        <w:rPr/>
        <w:t>Nomor</w:t>
      </w:r>
      <w:r>
        <w:rPr>
          <w:spacing w:val="-11"/>
        </w:rPr>
        <w:t> </w:t>
      </w:r>
      <w:r>
        <w:rPr/>
        <w:t>3</w:t>
      </w:r>
      <w:r>
        <w:rPr>
          <w:spacing w:val="-6"/>
        </w:rPr>
        <w:t> </w:t>
      </w:r>
      <w:r>
        <w:rPr/>
        <w:t>Tahun</w:t>
      </w:r>
      <w:r>
        <w:rPr>
          <w:spacing w:val="-11"/>
        </w:rPr>
        <w:t> </w:t>
      </w:r>
      <w:r>
        <w:rPr/>
        <w:t>2022 memang tidak secara tegas menyebutkan IKN sebagai daerah otonom baru. Namun, jika dicermati pasal demi pasal dalam Undang-undang tersebut khususnya dalam beberapa ketentuan, tampak jelas bahwa IKN sesungguhnya sebuah daerah otonom baru dengan status pemerintah daerah khusus. Ketentuan tersebut yaitu:</w:t>
      </w:r>
    </w:p>
    <w:p>
      <w:pPr>
        <w:pStyle w:val="ListParagraph"/>
        <w:numPr>
          <w:ilvl w:val="0"/>
          <w:numId w:val="8"/>
        </w:numPr>
        <w:tabs>
          <w:tab w:pos="991" w:val="left" w:leader="none"/>
          <w:tab w:pos="993" w:val="left" w:leader="none"/>
        </w:tabs>
        <w:spacing w:line="360" w:lineRule="auto" w:before="0" w:after="0"/>
        <w:ind w:left="993" w:right="776" w:hanging="428"/>
        <w:jc w:val="both"/>
        <w:rPr>
          <w:sz w:val="24"/>
        </w:rPr>
      </w:pPr>
      <w:r>
        <w:rPr>
          <w:sz w:val="24"/>
        </w:rPr>
        <w:t>Dalam</w:t>
      </w:r>
      <w:r>
        <w:rPr>
          <w:spacing w:val="-13"/>
          <w:sz w:val="24"/>
        </w:rPr>
        <w:t> </w:t>
      </w:r>
      <w:r>
        <w:rPr>
          <w:sz w:val="24"/>
        </w:rPr>
        <w:t>Ketentuan</w:t>
      </w:r>
      <w:r>
        <w:rPr>
          <w:spacing w:val="-13"/>
          <w:sz w:val="24"/>
        </w:rPr>
        <w:t> </w:t>
      </w:r>
      <w:r>
        <w:rPr>
          <w:sz w:val="24"/>
        </w:rPr>
        <w:t>Umum</w:t>
      </w:r>
      <w:r>
        <w:rPr>
          <w:spacing w:val="-13"/>
          <w:sz w:val="24"/>
        </w:rPr>
        <w:t> </w:t>
      </w:r>
      <w:r>
        <w:rPr>
          <w:sz w:val="24"/>
        </w:rPr>
        <w:t>butir</w:t>
      </w:r>
      <w:r>
        <w:rPr>
          <w:spacing w:val="-14"/>
          <w:sz w:val="24"/>
        </w:rPr>
        <w:t> </w:t>
      </w:r>
      <w:r>
        <w:rPr>
          <w:sz w:val="24"/>
        </w:rPr>
        <w:t>2.</w:t>
      </w:r>
      <w:r>
        <w:rPr>
          <w:spacing w:val="40"/>
          <w:sz w:val="24"/>
        </w:rPr>
        <w:t> </w:t>
      </w:r>
      <w:r>
        <w:rPr>
          <w:sz w:val="24"/>
        </w:rPr>
        <w:t>Ibu</w:t>
      </w:r>
      <w:r>
        <w:rPr>
          <w:spacing w:val="-14"/>
          <w:sz w:val="24"/>
        </w:rPr>
        <w:t> </w:t>
      </w:r>
      <w:r>
        <w:rPr>
          <w:sz w:val="24"/>
        </w:rPr>
        <w:t>Kota</w:t>
      </w:r>
      <w:r>
        <w:rPr>
          <w:spacing w:val="40"/>
          <w:sz w:val="24"/>
        </w:rPr>
        <w:t> </w:t>
      </w:r>
      <w:r>
        <w:rPr>
          <w:sz w:val="24"/>
        </w:rPr>
        <w:t>Negara</w:t>
      </w:r>
      <w:r>
        <w:rPr>
          <w:spacing w:val="40"/>
          <w:sz w:val="24"/>
        </w:rPr>
        <w:t> </w:t>
      </w:r>
      <w:r>
        <w:rPr>
          <w:sz w:val="24"/>
        </w:rPr>
        <w:t>bernama</w:t>
      </w:r>
      <w:r>
        <w:rPr>
          <w:spacing w:val="-14"/>
          <w:sz w:val="24"/>
        </w:rPr>
        <w:t> </w:t>
      </w:r>
      <w:r>
        <w:rPr>
          <w:sz w:val="24"/>
        </w:rPr>
        <w:t>Nusantara dan selanjutnya disebut sebagai Ibu Kota Nusantara adalah</w:t>
      </w:r>
      <w:r>
        <w:rPr>
          <w:spacing w:val="-17"/>
          <w:sz w:val="24"/>
        </w:rPr>
        <w:t> </w:t>
      </w:r>
      <w:r>
        <w:rPr>
          <w:sz w:val="24"/>
        </w:rPr>
        <w:t>satuan Pemerintahan daerah yang bersifat khusus setingkat provinsi yang wilayahnya menjadi tempat kedudukan Ibu Kota Negarasebagaimana ditetapkan dan diatur dengan Undang-Undang ini.</w:t>
      </w:r>
    </w:p>
    <w:p>
      <w:pPr>
        <w:pStyle w:val="ListParagraph"/>
        <w:numPr>
          <w:ilvl w:val="0"/>
          <w:numId w:val="8"/>
        </w:numPr>
        <w:tabs>
          <w:tab w:pos="991" w:val="left" w:leader="none"/>
          <w:tab w:pos="993" w:val="left" w:leader="none"/>
        </w:tabs>
        <w:spacing w:line="360" w:lineRule="auto" w:before="0" w:after="0"/>
        <w:ind w:left="993" w:right="777" w:hanging="428"/>
        <w:jc w:val="both"/>
        <w:rPr>
          <w:sz w:val="24"/>
        </w:rPr>
      </w:pPr>
      <w:r>
        <w:rPr>
          <w:sz w:val="24"/>
        </w:rPr>
        <w:t>Pasal</w:t>
      </w:r>
      <w:r>
        <w:rPr>
          <w:spacing w:val="-7"/>
          <w:sz w:val="24"/>
        </w:rPr>
        <w:t> </w:t>
      </w:r>
      <w:r>
        <w:rPr>
          <w:sz w:val="24"/>
        </w:rPr>
        <w:t>4</w:t>
      </w:r>
      <w:r>
        <w:rPr>
          <w:spacing w:val="-6"/>
          <w:sz w:val="24"/>
        </w:rPr>
        <w:t> </w:t>
      </w:r>
      <w:r>
        <w:rPr>
          <w:sz w:val="24"/>
        </w:rPr>
        <w:t>ayat</w:t>
      </w:r>
      <w:r>
        <w:rPr>
          <w:spacing w:val="-6"/>
          <w:sz w:val="24"/>
        </w:rPr>
        <w:t> </w:t>
      </w:r>
      <w:r>
        <w:rPr>
          <w:sz w:val="24"/>
        </w:rPr>
        <w:t>(1)</w:t>
      </w:r>
      <w:r>
        <w:rPr>
          <w:spacing w:val="-8"/>
          <w:sz w:val="24"/>
        </w:rPr>
        <w:t> </w:t>
      </w:r>
      <w:r>
        <w:rPr>
          <w:sz w:val="24"/>
        </w:rPr>
        <w:t>huruf</w:t>
      </w:r>
      <w:r>
        <w:rPr>
          <w:spacing w:val="-5"/>
          <w:sz w:val="24"/>
        </w:rPr>
        <w:t> </w:t>
      </w:r>
      <w:r>
        <w:rPr>
          <w:sz w:val="24"/>
        </w:rPr>
        <w:t>b.</w:t>
      </w:r>
      <w:r>
        <w:rPr>
          <w:spacing w:val="-6"/>
          <w:sz w:val="24"/>
        </w:rPr>
        <w:t> </w:t>
      </w:r>
      <w:r>
        <w:rPr>
          <w:sz w:val="24"/>
        </w:rPr>
        <w:t>Otorita</w:t>
      </w:r>
      <w:r>
        <w:rPr>
          <w:spacing w:val="40"/>
          <w:sz w:val="24"/>
        </w:rPr>
        <w:t> </w:t>
      </w:r>
      <w:r>
        <w:rPr>
          <w:sz w:val="24"/>
        </w:rPr>
        <w:t>Ibu</w:t>
      </w:r>
      <w:r>
        <w:rPr>
          <w:spacing w:val="40"/>
          <w:sz w:val="24"/>
        </w:rPr>
        <w:t> </w:t>
      </w:r>
      <w:r>
        <w:rPr>
          <w:sz w:val="24"/>
        </w:rPr>
        <w:t>Kota</w:t>
      </w:r>
      <w:r>
        <w:rPr>
          <w:spacing w:val="40"/>
          <w:sz w:val="24"/>
        </w:rPr>
        <w:t> </w:t>
      </w:r>
      <w:r>
        <w:rPr>
          <w:sz w:val="24"/>
        </w:rPr>
        <w:t>Nusantara</w:t>
      </w:r>
      <w:r>
        <w:rPr>
          <w:spacing w:val="40"/>
          <w:sz w:val="24"/>
        </w:rPr>
        <w:t> </w:t>
      </w:r>
      <w:r>
        <w:rPr>
          <w:sz w:val="24"/>
        </w:rPr>
        <w:t>sebagai</w:t>
      </w:r>
      <w:r>
        <w:rPr>
          <w:spacing w:val="-7"/>
          <w:sz w:val="24"/>
        </w:rPr>
        <w:t> </w:t>
      </w:r>
      <w:r>
        <w:rPr>
          <w:sz w:val="24"/>
        </w:rPr>
        <w:t>lembaga setingkat kementerian yang menyelenggarakan Pemerintahan Daerah Khusus Ibu Kota Nusantara.</w:t>
      </w:r>
    </w:p>
    <w:p>
      <w:pPr>
        <w:pStyle w:val="ListParagraph"/>
        <w:numPr>
          <w:ilvl w:val="0"/>
          <w:numId w:val="8"/>
        </w:numPr>
        <w:tabs>
          <w:tab w:pos="991" w:val="left" w:leader="none"/>
          <w:tab w:pos="993" w:val="left" w:leader="none"/>
        </w:tabs>
        <w:spacing w:line="360" w:lineRule="auto" w:before="4" w:after="0"/>
        <w:ind w:left="993" w:right="772" w:hanging="428"/>
        <w:jc w:val="both"/>
        <w:rPr>
          <w:sz w:val="24"/>
        </w:rPr>
      </w:pPr>
      <w:r>
        <w:rPr>
          <w:sz w:val="24"/>
        </w:rPr>
        <w:t>Pasal 4 ayat (3) Otorita Ibu Kota Nusantara sebagaimana dimaksud pada ayat (1) huruf b bertanggung jawab pada kegiatan persiapan, pembangunan,</w:t>
      </w:r>
      <w:r>
        <w:rPr>
          <w:spacing w:val="-14"/>
          <w:sz w:val="24"/>
        </w:rPr>
        <w:t> </w:t>
      </w:r>
      <w:r>
        <w:rPr>
          <w:sz w:val="24"/>
        </w:rPr>
        <w:t>dan</w:t>
      </w:r>
      <w:r>
        <w:rPr>
          <w:spacing w:val="-16"/>
          <w:sz w:val="24"/>
        </w:rPr>
        <w:t> </w:t>
      </w:r>
      <w:r>
        <w:rPr>
          <w:sz w:val="24"/>
        </w:rPr>
        <w:t>pemindahan</w:t>
      </w:r>
      <w:r>
        <w:rPr>
          <w:spacing w:val="-16"/>
          <w:sz w:val="24"/>
        </w:rPr>
        <w:t> </w:t>
      </w:r>
      <w:r>
        <w:rPr>
          <w:sz w:val="24"/>
        </w:rPr>
        <w:t>Ibu</w:t>
      </w:r>
      <w:r>
        <w:rPr>
          <w:spacing w:val="-16"/>
          <w:sz w:val="24"/>
        </w:rPr>
        <w:t> </w:t>
      </w:r>
      <w:r>
        <w:rPr>
          <w:sz w:val="24"/>
        </w:rPr>
        <w:t>Kota</w:t>
      </w:r>
      <w:r>
        <w:rPr>
          <w:spacing w:val="-16"/>
          <w:sz w:val="24"/>
        </w:rPr>
        <w:t> </w:t>
      </w:r>
      <w:r>
        <w:rPr>
          <w:sz w:val="24"/>
        </w:rPr>
        <w:t>Negara,</w:t>
      </w:r>
      <w:r>
        <w:rPr>
          <w:spacing w:val="-14"/>
          <w:sz w:val="24"/>
        </w:rPr>
        <w:t> </w:t>
      </w:r>
      <w:r>
        <w:rPr>
          <w:sz w:val="24"/>
        </w:rPr>
        <w:t>serta</w:t>
      </w:r>
      <w:r>
        <w:rPr>
          <w:spacing w:val="-16"/>
          <w:sz w:val="24"/>
        </w:rPr>
        <w:t> </w:t>
      </w:r>
      <w:r>
        <w:rPr>
          <w:sz w:val="24"/>
        </w:rPr>
        <w:t>penyelenggara Pemerintahan Daerah Khusus Ibu Kota Nusantara.</w:t>
      </w:r>
    </w:p>
    <w:p>
      <w:pPr>
        <w:pStyle w:val="ListParagraph"/>
        <w:numPr>
          <w:ilvl w:val="0"/>
          <w:numId w:val="8"/>
        </w:numPr>
        <w:tabs>
          <w:tab w:pos="991" w:val="left" w:leader="none"/>
          <w:tab w:pos="993" w:val="left" w:leader="none"/>
          <w:tab w:pos="2467" w:val="left" w:leader="none"/>
        </w:tabs>
        <w:spacing w:line="357" w:lineRule="auto" w:before="1" w:after="0"/>
        <w:ind w:left="993" w:right="781" w:hanging="428"/>
        <w:jc w:val="both"/>
        <w:rPr>
          <w:sz w:val="24"/>
        </w:rPr>
      </w:pPr>
      <w:r>
        <w:rPr>
          <w:sz w:val="24"/>
        </w:rPr>
        <w:t>Pasal 5 ayat (2) Sebagai satuan pemerintahan daerah yang bersifat </w:t>
      </w:r>
      <w:r>
        <w:rPr>
          <w:spacing w:val="-2"/>
          <w:sz w:val="24"/>
        </w:rPr>
        <w:t>khusus,</w:t>
      </w:r>
      <w:r>
        <w:rPr>
          <w:sz w:val="24"/>
        </w:rPr>
        <w:tab/>
        <w:t>Pemerintahan Daerah Khusus Ibu Kota Nusantara</w:t>
      </w:r>
    </w:p>
    <w:p>
      <w:pPr>
        <w:pStyle w:val="ListParagraph"/>
        <w:spacing w:after="0" w:line="357" w:lineRule="auto"/>
        <w:jc w:val="both"/>
        <w:rPr>
          <w:sz w:val="24"/>
        </w:rPr>
        <w:sectPr>
          <w:pgSz w:w="11910" w:h="16840"/>
          <w:pgMar w:header="0" w:footer="1186" w:top="1580" w:bottom="1380" w:left="1700" w:right="992"/>
        </w:sectPr>
      </w:pPr>
    </w:p>
    <w:p>
      <w:pPr>
        <w:pStyle w:val="BodyText"/>
        <w:tabs>
          <w:tab w:pos="2467" w:val="left" w:leader="none"/>
          <w:tab w:pos="3274" w:val="left" w:leader="none"/>
          <w:tab w:pos="4743" w:val="left" w:leader="none"/>
          <w:tab w:pos="5848" w:val="left" w:leader="none"/>
          <w:tab w:pos="6962" w:val="left" w:leader="none"/>
        </w:tabs>
        <w:spacing w:line="360" w:lineRule="auto" w:before="82"/>
        <w:ind w:left="993" w:right="782"/>
        <w:jc w:val="left"/>
      </w:pPr>
      <w:r>
        <w:rPr>
          <w:spacing w:val="-2"/>
        </w:rPr>
        <w:t>mengatur</w:t>
      </w:r>
      <w:r>
        <w:rPr/>
        <w:tab/>
      </w:r>
      <w:r>
        <w:rPr>
          <w:spacing w:val="-4"/>
        </w:rPr>
        <w:t>dan</w:t>
      </w:r>
      <w:r>
        <w:rPr/>
        <w:tab/>
      </w:r>
      <w:r>
        <w:rPr>
          <w:spacing w:val="-2"/>
        </w:rPr>
        <w:t>mengurus</w:t>
      </w:r>
      <w:r>
        <w:rPr/>
        <w:tab/>
      </w:r>
      <w:r>
        <w:rPr>
          <w:spacing w:val="-2"/>
        </w:rPr>
        <w:t>sendiri</w:t>
      </w:r>
      <w:r>
        <w:rPr/>
        <w:tab/>
      </w:r>
      <w:r>
        <w:rPr>
          <w:spacing w:val="-2"/>
        </w:rPr>
        <w:t>urusan</w:t>
      </w:r>
      <w:r>
        <w:rPr/>
        <w:tab/>
      </w:r>
      <w:r>
        <w:rPr>
          <w:spacing w:val="-2"/>
        </w:rPr>
        <w:t>pemerintahan </w:t>
      </w:r>
      <w:r>
        <w:rPr/>
        <w:t>sebagaimana ditetapkan dan diatur dengan Undang-Undang ini.</w:t>
      </w:r>
    </w:p>
    <w:p>
      <w:pPr>
        <w:pStyle w:val="ListParagraph"/>
        <w:numPr>
          <w:ilvl w:val="0"/>
          <w:numId w:val="8"/>
        </w:numPr>
        <w:tabs>
          <w:tab w:pos="1017" w:val="left" w:leader="none"/>
          <w:tab w:pos="1041" w:val="left" w:leader="none"/>
        </w:tabs>
        <w:spacing w:line="360" w:lineRule="auto" w:before="3" w:after="0"/>
        <w:ind w:left="1017" w:right="766" w:hanging="404"/>
        <w:jc w:val="right"/>
        <w:rPr>
          <w:sz w:val="24"/>
        </w:rPr>
      </w:pPr>
      <w:r>
        <w:rPr>
          <w:sz w:val="24"/>
        </w:rPr>
        <w:t>Pasal</w:t>
      </w:r>
      <w:r>
        <w:rPr>
          <w:spacing w:val="40"/>
          <w:sz w:val="24"/>
        </w:rPr>
        <w:t> </w:t>
      </w:r>
      <w:r>
        <w:rPr>
          <w:sz w:val="24"/>
        </w:rPr>
        <w:t>5</w:t>
      </w:r>
      <w:r>
        <w:rPr>
          <w:spacing w:val="40"/>
          <w:sz w:val="24"/>
        </w:rPr>
        <w:t> </w:t>
      </w:r>
      <w:r>
        <w:rPr>
          <w:sz w:val="24"/>
        </w:rPr>
        <w:t>ayat</w:t>
      </w:r>
      <w:r>
        <w:rPr>
          <w:spacing w:val="40"/>
          <w:sz w:val="24"/>
        </w:rPr>
        <w:t> </w:t>
      </w:r>
      <w:r>
        <w:rPr>
          <w:sz w:val="24"/>
        </w:rPr>
        <w:t>(5)</w:t>
      </w:r>
      <w:r>
        <w:rPr>
          <w:spacing w:val="40"/>
          <w:sz w:val="24"/>
        </w:rPr>
        <w:t> </w:t>
      </w:r>
      <w:r>
        <w:rPr>
          <w:sz w:val="24"/>
        </w:rPr>
        <w:t>Pemerintahan</w:t>
      </w:r>
      <w:r>
        <w:rPr>
          <w:spacing w:val="40"/>
          <w:sz w:val="24"/>
        </w:rPr>
        <w:t> </w:t>
      </w:r>
      <w:r>
        <w:rPr>
          <w:sz w:val="24"/>
        </w:rPr>
        <w:t>Daerah</w:t>
      </w:r>
      <w:r>
        <w:rPr>
          <w:spacing w:val="40"/>
          <w:sz w:val="24"/>
        </w:rPr>
        <w:t> </w:t>
      </w:r>
      <w:r>
        <w:rPr>
          <w:sz w:val="24"/>
        </w:rPr>
        <w:t>Khusus</w:t>
      </w:r>
      <w:r>
        <w:rPr>
          <w:spacing w:val="40"/>
          <w:sz w:val="24"/>
        </w:rPr>
        <w:t> </w:t>
      </w:r>
      <w:r>
        <w:rPr>
          <w:sz w:val="24"/>
        </w:rPr>
        <w:t>Ibu</w:t>
      </w:r>
      <w:r>
        <w:rPr>
          <w:spacing w:val="40"/>
          <w:sz w:val="24"/>
        </w:rPr>
        <w:t> </w:t>
      </w:r>
      <w:r>
        <w:rPr>
          <w:sz w:val="24"/>
        </w:rPr>
        <w:t>Kota</w:t>
      </w:r>
      <w:r>
        <w:rPr>
          <w:spacing w:val="40"/>
          <w:sz w:val="24"/>
        </w:rPr>
        <w:t> </w:t>
      </w:r>
      <w:r>
        <w:rPr>
          <w:sz w:val="24"/>
        </w:rPr>
        <w:t>Nusantara menjalankan fungsi dan peran pemerintahan daerah khusus yang diatur</w:t>
      </w:r>
      <w:r>
        <w:rPr>
          <w:spacing w:val="40"/>
          <w:sz w:val="24"/>
        </w:rPr>
        <w:t> </w:t>
      </w:r>
      <w:r>
        <w:rPr>
          <w:sz w:val="24"/>
        </w:rPr>
        <w:t>dalam</w:t>
      </w:r>
      <w:r>
        <w:rPr>
          <w:spacing w:val="40"/>
          <w:sz w:val="24"/>
        </w:rPr>
        <w:t> </w:t>
      </w:r>
      <w:r>
        <w:rPr>
          <w:sz w:val="24"/>
        </w:rPr>
        <w:t>Undang-Undang</w:t>
      </w:r>
      <w:r>
        <w:rPr>
          <w:spacing w:val="40"/>
          <w:sz w:val="24"/>
        </w:rPr>
        <w:t> </w:t>
      </w:r>
      <w:r>
        <w:rPr>
          <w:sz w:val="24"/>
        </w:rPr>
        <w:t>ini,</w:t>
      </w:r>
      <w:r>
        <w:rPr>
          <w:spacing w:val="40"/>
          <w:sz w:val="24"/>
        </w:rPr>
        <w:t> </w:t>
      </w:r>
      <w:r>
        <w:rPr>
          <w:sz w:val="24"/>
        </w:rPr>
        <w:t>kecuali</w:t>
      </w:r>
      <w:r>
        <w:rPr>
          <w:spacing w:val="40"/>
          <w:sz w:val="24"/>
        </w:rPr>
        <w:t> </w:t>
      </w:r>
      <w:r>
        <w:rPr>
          <w:sz w:val="24"/>
        </w:rPr>
        <w:t>yang</w:t>
      </w:r>
      <w:r>
        <w:rPr>
          <w:spacing w:val="40"/>
          <w:sz w:val="24"/>
        </w:rPr>
        <w:t> </w:t>
      </w:r>
      <w:r>
        <w:rPr>
          <w:sz w:val="24"/>
        </w:rPr>
        <w:t>oleh</w:t>
      </w:r>
      <w:r>
        <w:rPr>
          <w:spacing w:val="40"/>
          <w:sz w:val="24"/>
        </w:rPr>
        <w:t> </w:t>
      </w:r>
      <w:r>
        <w:rPr>
          <w:sz w:val="24"/>
        </w:rPr>
        <w:t>peraturan perundang-undangan</w:t>
      </w:r>
      <w:r>
        <w:rPr>
          <w:spacing w:val="-7"/>
          <w:sz w:val="24"/>
        </w:rPr>
        <w:t> </w:t>
      </w:r>
      <w:r>
        <w:rPr>
          <w:sz w:val="24"/>
        </w:rPr>
        <w:t>ditentukan</w:t>
      </w:r>
      <w:r>
        <w:rPr>
          <w:spacing w:val="-7"/>
          <w:sz w:val="24"/>
        </w:rPr>
        <w:t> </w:t>
      </w:r>
      <w:r>
        <w:rPr>
          <w:sz w:val="24"/>
        </w:rPr>
        <w:t>sebagai</w:t>
      </w:r>
      <w:r>
        <w:rPr>
          <w:spacing w:val="-6"/>
          <w:sz w:val="24"/>
        </w:rPr>
        <w:t> </w:t>
      </w:r>
      <w:r>
        <w:rPr>
          <w:sz w:val="24"/>
        </w:rPr>
        <w:t>urusan</w:t>
      </w:r>
      <w:r>
        <w:rPr>
          <w:spacing w:val="-7"/>
          <w:sz w:val="24"/>
        </w:rPr>
        <w:t> </w:t>
      </w:r>
      <w:r>
        <w:rPr>
          <w:sz w:val="24"/>
        </w:rPr>
        <w:t>pemerintahan</w:t>
      </w:r>
      <w:r>
        <w:rPr>
          <w:spacing w:val="-7"/>
          <w:sz w:val="24"/>
        </w:rPr>
        <w:t> </w:t>
      </w:r>
      <w:r>
        <w:rPr>
          <w:sz w:val="24"/>
        </w:rPr>
        <w:t>pusat. </w:t>
      </w:r>
      <w:r>
        <w:rPr>
          <w:spacing w:val="-2"/>
          <w:sz w:val="24"/>
        </w:rPr>
        <w:t>Lahirnya</w:t>
      </w:r>
      <w:r>
        <w:rPr>
          <w:spacing w:val="-15"/>
          <w:sz w:val="24"/>
        </w:rPr>
        <w:t> </w:t>
      </w:r>
      <w:r>
        <w:rPr>
          <w:spacing w:val="-2"/>
          <w:sz w:val="24"/>
        </w:rPr>
        <w:t>UU</w:t>
      </w:r>
      <w:r>
        <w:rPr>
          <w:spacing w:val="-21"/>
          <w:sz w:val="24"/>
        </w:rPr>
        <w:t> </w:t>
      </w:r>
      <w:r>
        <w:rPr>
          <w:spacing w:val="-2"/>
          <w:sz w:val="24"/>
        </w:rPr>
        <w:t>Nomor</w:t>
      </w:r>
      <w:r>
        <w:rPr>
          <w:spacing w:val="-20"/>
          <w:sz w:val="24"/>
        </w:rPr>
        <w:t> </w:t>
      </w:r>
      <w:r>
        <w:rPr>
          <w:spacing w:val="-2"/>
          <w:sz w:val="24"/>
        </w:rPr>
        <w:t>21</w:t>
      </w:r>
      <w:r>
        <w:rPr>
          <w:spacing w:val="-19"/>
          <w:sz w:val="24"/>
        </w:rPr>
        <w:t> </w:t>
      </w:r>
      <w:r>
        <w:rPr>
          <w:spacing w:val="-2"/>
          <w:sz w:val="24"/>
        </w:rPr>
        <w:t>Tahun</w:t>
      </w:r>
      <w:r>
        <w:rPr>
          <w:spacing w:val="-20"/>
          <w:sz w:val="24"/>
        </w:rPr>
        <w:t> </w:t>
      </w:r>
      <w:r>
        <w:rPr>
          <w:spacing w:val="-2"/>
          <w:sz w:val="24"/>
        </w:rPr>
        <w:t>2023</w:t>
      </w:r>
      <w:r>
        <w:rPr>
          <w:spacing w:val="-19"/>
          <w:sz w:val="24"/>
        </w:rPr>
        <w:t> </w:t>
      </w:r>
      <w:r>
        <w:rPr>
          <w:spacing w:val="-2"/>
          <w:sz w:val="24"/>
        </w:rPr>
        <w:t>tentang</w:t>
      </w:r>
      <w:r>
        <w:rPr>
          <w:spacing w:val="-21"/>
          <w:sz w:val="24"/>
        </w:rPr>
        <w:t> </w:t>
      </w:r>
      <w:r>
        <w:rPr>
          <w:spacing w:val="-2"/>
          <w:sz w:val="24"/>
        </w:rPr>
        <w:t>Perubahan</w:t>
      </w:r>
      <w:r>
        <w:rPr>
          <w:spacing w:val="-20"/>
          <w:sz w:val="24"/>
        </w:rPr>
        <w:t> </w:t>
      </w:r>
      <w:r>
        <w:rPr>
          <w:spacing w:val="-2"/>
          <w:sz w:val="24"/>
        </w:rPr>
        <w:t>Atas</w:t>
      </w:r>
      <w:r>
        <w:rPr>
          <w:spacing w:val="-20"/>
          <w:sz w:val="24"/>
        </w:rPr>
        <w:t> </w:t>
      </w:r>
      <w:r>
        <w:rPr>
          <w:spacing w:val="-2"/>
          <w:sz w:val="24"/>
        </w:rPr>
        <w:t>UU</w:t>
      </w:r>
      <w:r>
        <w:rPr>
          <w:spacing w:val="-20"/>
          <w:sz w:val="24"/>
        </w:rPr>
        <w:t> </w:t>
      </w:r>
      <w:r>
        <w:rPr>
          <w:spacing w:val="-2"/>
          <w:sz w:val="24"/>
        </w:rPr>
        <w:t>Nomor</w:t>
      </w:r>
    </w:p>
    <w:p>
      <w:pPr>
        <w:pStyle w:val="BodyText"/>
        <w:spacing w:line="360" w:lineRule="auto" w:before="1"/>
        <w:ind w:left="566" w:right="764"/>
      </w:pPr>
      <w:r>
        <w:rPr>
          <w:spacing w:val="-6"/>
        </w:rPr>
        <w:t>3</w:t>
      </w:r>
      <w:r>
        <w:rPr>
          <w:spacing w:val="-8"/>
        </w:rPr>
        <w:t> </w:t>
      </w:r>
      <w:r>
        <w:rPr>
          <w:spacing w:val="-6"/>
        </w:rPr>
        <w:t>Tahun</w:t>
      </w:r>
      <w:r>
        <w:rPr>
          <w:spacing w:val="-9"/>
        </w:rPr>
        <w:t> </w:t>
      </w:r>
      <w:r>
        <w:rPr>
          <w:spacing w:val="-6"/>
        </w:rPr>
        <w:t>2022</w:t>
      </w:r>
      <w:r>
        <w:rPr>
          <w:spacing w:val="-8"/>
        </w:rPr>
        <w:t> </w:t>
      </w:r>
      <w:r>
        <w:rPr>
          <w:spacing w:val="-6"/>
        </w:rPr>
        <w:t>tentang</w:t>
      </w:r>
      <w:r>
        <w:rPr>
          <w:spacing w:val="-10"/>
        </w:rPr>
        <w:t> </w:t>
      </w:r>
      <w:r>
        <w:rPr>
          <w:spacing w:val="-6"/>
        </w:rPr>
        <w:t>Ibu</w:t>
      </w:r>
      <w:r>
        <w:rPr>
          <w:spacing w:val="-10"/>
        </w:rPr>
        <w:t> </w:t>
      </w:r>
      <w:r>
        <w:rPr>
          <w:spacing w:val="-6"/>
        </w:rPr>
        <w:t>Kota</w:t>
      </w:r>
      <w:r>
        <w:rPr>
          <w:spacing w:val="-10"/>
        </w:rPr>
        <w:t> </w:t>
      </w:r>
      <w:r>
        <w:rPr>
          <w:spacing w:val="-6"/>
        </w:rPr>
        <w:t>Negara</w:t>
      </w:r>
      <w:r>
        <w:rPr>
          <w:spacing w:val="-10"/>
        </w:rPr>
        <w:t> </w:t>
      </w:r>
      <w:r>
        <w:rPr>
          <w:spacing w:val="-6"/>
        </w:rPr>
        <w:t>juga</w:t>
      </w:r>
      <w:r>
        <w:rPr>
          <w:spacing w:val="-10"/>
        </w:rPr>
        <w:t> </w:t>
      </w:r>
      <w:r>
        <w:rPr>
          <w:spacing w:val="-6"/>
        </w:rPr>
        <w:t>semakin memperkuat keberadaan </w:t>
      </w:r>
      <w:r>
        <w:rPr>
          <w:spacing w:val="-4"/>
        </w:rPr>
        <w:t>Otorita</w:t>
      </w:r>
      <w:r>
        <w:rPr>
          <w:spacing w:val="-13"/>
        </w:rPr>
        <w:t> </w:t>
      </w:r>
      <w:r>
        <w:rPr>
          <w:spacing w:val="-4"/>
        </w:rPr>
        <w:t>sebagai</w:t>
      </w:r>
      <w:r>
        <w:rPr>
          <w:spacing w:val="-6"/>
        </w:rPr>
        <w:t> </w:t>
      </w:r>
      <w:r>
        <w:rPr>
          <w:spacing w:val="-4"/>
        </w:rPr>
        <w:t>pemerintah</w:t>
      </w:r>
      <w:r>
        <w:rPr>
          <w:spacing w:val="-7"/>
        </w:rPr>
        <w:t> </w:t>
      </w:r>
      <w:r>
        <w:rPr>
          <w:spacing w:val="-4"/>
        </w:rPr>
        <w:t>daerah.</w:t>
      </w:r>
      <w:r>
        <w:rPr>
          <w:spacing w:val="-5"/>
        </w:rPr>
        <w:t> </w:t>
      </w:r>
      <w:r>
        <w:rPr>
          <w:spacing w:val="-4"/>
        </w:rPr>
        <w:t>Hal</w:t>
      </w:r>
      <w:r>
        <w:rPr>
          <w:spacing w:val="-7"/>
        </w:rPr>
        <w:t> </w:t>
      </w:r>
      <w:r>
        <w:rPr>
          <w:spacing w:val="-4"/>
        </w:rPr>
        <w:t>ini</w:t>
      </w:r>
      <w:r>
        <w:rPr>
          <w:spacing w:val="-12"/>
        </w:rPr>
        <w:t> </w:t>
      </w:r>
      <w:r>
        <w:rPr>
          <w:spacing w:val="-4"/>
        </w:rPr>
        <w:t>tampak</w:t>
      </w:r>
      <w:r>
        <w:rPr>
          <w:spacing w:val="-6"/>
        </w:rPr>
        <w:t> </w:t>
      </w:r>
      <w:r>
        <w:rPr>
          <w:spacing w:val="-4"/>
        </w:rPr>
        <w:t>dari</w:t>
      </w:r>
      <w:r>
        <w:rPr>
          <w:spacing w:val="-7"/>
        </w:rPr>
        <w:t> </w:t>
      </w:r>
      <w:r>
        <w:rPr>
          <w:spacing w:val="-4"/>
        </w:rPr>
        <w:t>peran</w:t>
      </w:r>
      <w:r>
        <w:rPr>
          <w:spacing w:val="-7"/>
        </w:rPr>
        <w:t> </w:t>
      </w:r>
      <w:r>
        <w:rPr>
          <w:spacing w:val="-4"/>
        </w:rPr>
        <w:t>Otorita</w:t>
      </w:r>
      <w:r>
        <w:rPr>
          <w:spacing w:val="-9"/>
        </w:rPr>
        <w:t> </w:t>
      </w:r>
      <w:r>
        <w:rPr>
          <w:spacing w:val="-4"/>
        </w:rPr>
        <w:t>sebagai </w:t>
      </w:r>
      <w:r>
        <w:rPr/>
        <w:t>pengguna anggaran menjadi pengelola anggaran, sebagaimana tampak dalam Pasal 24 yang menyatakan bahwa pendanaan untuk persiapan, pembangunan, dan pemindahan ibu kota negara, serta penyelenggaraan </w:t>
      </w:r>
      <w:r>
        <w:rPr>
          <w:spacing w:val="-4"/>
        </w:rPr>
        <w:t>Pemerintahan</w:t>
      </w:r>
      <w:r>
        <w:rPr>
          <w:spacing w:val="-13"/>
        </w:rPr>
        <w:t> </w:t>
      </w:r>
      <w:r>
        <w:rPr>
          <w:spacing w:val="-4"/>
        </w:rPr>
        <w:t>Daerah</w:t>
      </w:r>
      <w:r>
        <w:rPr>
          <w:spacing w:val="-12"/>
        </w:rPr>
        <w:t> </w:t>
      </w:r>
      <w:r>
        <w:rPr>
          <w:spacing w:val="-4"/>
        </w:rPr>
        <w:t>Khusus</w:t>
      </w:r>
      <w:r>
        <w:rPr>
          <w:spacing w:val="-13"/>
        </w:rPr>
        <w:t> </w:t>
      </w:r>
      <w:r>
        <w:rPr>
          <w:spacing w:val="-4"/>
        </w:rPr>
        <w:t>Ibu</w:t>
      </w:r>
      <w:r>
        <w:rPr>
          <w:spacing w:val="-12"/>
        </w:rPr>
        <w:t> </w:t>
      </w:r>
      <w:r>
        <w:rPr>
          <w:spacing w:val="-4"/>
        </w:rPr>
        <w:t>Kota</w:t>
      </w:r>
      <w:r>
        <w:rPr>
          <w:spacing w:val="-13"/>
        </w:rPr>
        <w:t> </w:t>
      </w:r>
      <w:r>
        <w:rPr>
          <w:spacing w:val="-4"/>
        </w:rPr>
        <w:t>Nusantara</w:t>
      </w:r>
      <w:r>
        <w:rPr>
          <w:spacing w:val="-12"/>
        </w:rPr>
        <w:t> </w:t>
      </w:r>
      <w:r>
        <w:rPr>
          <w:spacing w:val="-4"/>
        </w:rPr>
        <w:t>bersumber</w:t>
      </w:r>
      <w:r>
        <w:rPr>
          <w:spacing w:val="-13"/>
        </w:rPr>
        <w:t> </w:t>
      </w:r>
      <w:r>
        <w:rPr>
          <w:spacing w:val="-4"/>
        </w:rPr>
        <w:t>dari</w:t>
      </w:r>
      <w:r>
        <w:rPr>
          <w:spacing w:val="-12"/>
        </w:rPr>
        <w:t> </w:t>
      </w:r>
      <w:r>
        <w:rPr>
          <w:spacing w:val="-4"/>
        </w:rPr>
        <w:t>a.</w:t>
      </w:r>
      <w:r>
        <w:rPr>
          <w:spacing w:val="-12"/>
        </w:rPr>
        <w:t> </w:t>
      </w:r>
      <w:r>
        <w:rPr>
          <w:spacing w:val="-4"/>
        </w:rPr>
        <w:t>Anggaran </w:t>
      </w:r>
      <w:r>
        <w:rPr>
          <w:spacing w:val="-8"/>
        </w:rPr>
        <w:t>Pendapatan dan Belanja Negara;</w:t>
      </w:r>
      <w:r>
        <w:rPr/>
        <w:t> </w:t>
      </w:r>
      <w:r>
        <w:rPr>
          <w:spacing w:val="-8"/>
        </w:rPr>
        <w:t>b.</w:t>
      </w:r>
      <w:r>
        <w:rPr/>
        <w:t> </w:t>
      </w:r>
      <w:r>
        <w:rPr>
          <w:spacing w:val="-8"/>
        </w:rPr>
        <w:t>Anggaran Pendapatan dan Belanja Ibu Kota </w:t>
      </w:r>
      <w:r>
        <w:rPr/>
        <w:t>Nunsatara; dan/atau c. Sumber lain yang sah sesuai dengan ketentuan </w:t>
      </w:r>
      <w:r>
        <w:rPr>
          <w:spacing w:val="-6"/>
        </w:rPr>
        <w:t>peraturan perundang-undangan.</w:t>
      </w:r>
      <w:r>
        <w:rPr>
          <w:spacing w:val="-8"/>
        </w:rPr>
        <w:t> </w:t>
      </w:r>
      <w:r>
        <w:rPr>
          <w:spacing w:val="-6"/>
        </w:rPr>
        <w:t>Dalam</w:t>
      </w:r>
      <w:r>
        <w:rPr>
          <w:spacing w:val="-10"/>
        </w:rPr>
        <w:t> </w:t>
      </w:r>
      <w:r>
        <w:rPr>
          <w:spacing w:val="-6"/>
        </w:rPr>
        <w:t>ayat</w:t>
      </w:r>
      <w:r>
        <w:rPr>
          <w:spacing w:val="-9"/>
        </w:rPr>
        <w:t> </w:t>
      </w:r>
      <w:r>
        <w:rPr>
          <w:spacing w:val="-6"/>
        </w:rPr>
        <w:t>(4) lebih</w:t>
      </w:r>
      <w:r>
        <w:rPr>
          <w:spacing w:val="-11"/>
        </w:rPr>
        <w:t> </w:t>
      </w:r>
      <w:r>
        <w:rPr>
          <w:spacing w:val="-6"/>
        </w:rPr>
        <w:t>lanjut</w:t>
      </w:r>
      <w:r>
        <w:rPr>
          <w:spacing w:val="-2"/>
        </w:rPr>
        <w:t> </w:t>
      </w:r>
      <w:r>
        <w:rPr>
          <w:spacing w:val="-6"/>
        </w:rPr>
        <w:t>disebutkan</w:t>
      </w:r>
      <w:r>
        <w:rPr>
          <w:spacing w:val="-10"/>
        </w:rPr>
        <w:t> </w:t>
      </w:r>
      <w:r>
        <w:rPr>
          <w:spacing w:val="-6"/>
        </w:rPr>
        <w:t>bahwa </w:t>
      </w:r>
      <w:r>
        <w:rPr/>
        <w:t>dalam rangka pendanaan untuk penyelenggaraan Pemerintahan Daerah </w:t>
      </w:r>
      <w:r>
        <w:rPr>
          <w:spacing w:val="-2"/>
        </w:rPr>
        <w:t>Khusus</w:t>
      </w:r>
      <w:r>
        <w:rPr>
          <w:spacing w:val="-15"/>
        </w:rPr>
        <w:t> </w:t>
      </w:r>
      <w:r>
        <w:rPr>
          <w:spacing w:val="-2"/>
        </w:rPr>
        <w:t>Ibu</w:t>
      </w:r>
      <w:r>
        <w:rPr>
          <w:spacing w:val="-14"/>
        </w:rPr>
        <w:t> </w:t>
      </w:r>
      <w:r>
        <w:rPr>
          <w:spacing w:val="-2"/>
        </w:rPr>
        <w:t>Kota</w:t>
      </w:r>
      <w:r>
        <w:rPr>
          <w:spacing w:val="-15"/>
        </w:rPr>
        <w:t> </w:t>
      </w:r>
      <w:r>
        <w:rPr>
          <w:spacing w:val="-2"/>
        </w:rPr>
        <w:t>Nusantara,</w:t>
      </w:r>
      <w:r>
        <w:rPr>
          <w:spacing w:val="-14"/>
        </w:rPr>
        <w:t> </w:t>
      </w:r>
      <w:r>
        <w:rPr>
          <w:spacing w:val="-2"/>
        </w:rPr>
        <w:t>Otorita</w:t>
      </w:r>
      <w:r>
        <w:rPr>
          <w:spacing w:val="-15"/>
        </w:rPr>
        <w:t> </w:t>
      </w:r>
      <w:r>
        <w:rPr>
          <w:spacing w:val="-2"/>
        </w:rPr>
        <w:t>IKN</w:t>
      </w:r>
      <w:r>
        <w:rPr>
          <w:spacing w:val="-14"/>
        </w:rPr>
        <w:t> </w:t>
      </w:r>
      <w:r>
        <w:rPr>
          <w:spacing w:val="-2"/>
        </w:rPr>
        <w:t>dapat</w:t>
      </w:r>
      <w:r>
        <w:rPr>
          <w:spacing w:val="-15"/>
        </w:rPr>
        <w:t> </w:t>
      </w:r>
      <w:r>
        <w:rPr>
          <w:spacing w:val="-2"/>
        </w:rPr>
        <w:t>melakukan</w:t>
      </w:r>
      <w:r>
        <w:rPr>
          <w:spacing w:val="-14"/>
        </w:rPr>
        <w:t> </w:t>
      </w:r>
      <w:r>
        <w:rPr>
          <w:spacing w:val="-2"/>
        </w:rPr>
        <w:t>pemungutan</w:t>
      </w:r>
      <w:r>
        <w:rPr>
          <w:spacing w:val="-14"/>
        </w:rPr>
        <w:t> </w:t>
      </w:r>
      <w:r>
        <w:rPr>
          <w:spacing w:val="-2"/>
        </w:rPr>
        <w:t>pajak daerah</w:t>
      </w:r>
      <w:r>
        <w:rPr>
          <w:spacing w:val="-15"/>
        </w:rPr>
        <w:t> </w:t>
      </w:r>
      <w:r>
        <w:rPr>
          <w:spacing w:val="-2"/>
        </w:rPr>
        <w:t>khusus</w:t>
      </w:r>
      <w:r>
        <w:rPr>
          <w:spacing w:val="-14"/>
        </w:rPr>
        <w:t> </w:t>
      </w:r>
      <w:r>
        <w:rPr>
          <w:spacing w:val="-2"/>
        </w:rPr>
        <w:t>ibu</w:t>
      </w:r>
      <w:r>
        <w:rPr>
          <w:spacing w:val="-15"/>
        </w:rPr>
        <w:t> </w:t>
      </w:r>
      <w:r>
        <w:rPr>
          <w:spacing w:val="-2"/>
        </w:rPr>
        <w:t>kota</w:t>
      </w:r>
      <w:r>
        <w:rPr>
          <w:spacing w:val="-15"/>
        </w:rPr>
        <w:t> </w:t>
      </w:r>
      <w:r>
        <w:rPr>
          <w:spacing w:val="-2"/>
        </w:rPr>
        <w:t>Nusantara</w:t>
      </w:r>
      <w:r>
        <w:rPr>
          <w:spacing w:val="-15"/>
        </w:rPr>
        <w:t> </w:t>
      </w:r>
      <w:r>
        <w:rPr>
          <w:spacing w:val="-2"/>
        </w:rPr>
        <w:t>dan/atau</w:t>
      </w:r>
      <w:r>
        <w:rPr>
          <w:spacing w:val="-15"/>
        </w:rPr>
        <w:t> </w:t>
      </w:r>
      <w:r>
        <w:rPr>
          <w:spacing w:val="-2"/>
        </w:rPr>
        <w:t>retribusi</w:t>
      </w:r>
      <w:r>
        <w:rPr>
          <w:spacing w:val="-14"/>
        </w:rPr>
        <w:t> </w:t>
      </w:r>
      <w:r>
        <w:rPr>
          <w:spacing w:val="-2"/>
        </w:rPr>
        <w:t>daerah</w:t>
      </w:r>
      <w:r>
        <w:rPr>
          <w:spacing w:val="-14"/>
        </w:rPr>
        <w:t> </w:t>
      </w:r>
      <w:r>
        <w:rPr>
          <w:spacing w:val="-2"/>
        </w:rPr>
        <w:t>khusus</w:t>
      </w:r>
      <w:r>
        <w:rPr>
          <w:spacing w:val="-14"/>
        </w:rPr>
        <w:t> </w:t>
      </w:r>
      <w:r>
        <w:rPr>
          <w:spacing w:val="-2"/>
        </w:rPr>
        <w:t>IKN.</w:t>
      </w:r>
    </w:p>
    <w:p>
      <w:pPr>
        <w:pStyle w:val="BodyText"/>
        <w:spacing w:line="360" w:lineRule="auto" w:before="1"/>
        <w:ind w:left="566" w:right="762" w:firstLine="710"/>
      </w:pPr>
      <w:r>
        <w:rPr/>
        <w:t>Bersandar pada ketentuan UU di atas tersebut, tentu akan timbul pertanyaan apa sesungguhnya dampak dari hadirnya IKN bagi daerah Kabupaten</w:t>
      </w:r>
      <w:r>
        <w:rPr>
          <w:spacing w:val="-15"/>
        </w:rPr>
        <w:t> </w:t>
      </w:r>
      <w:r>
        <w:rPr/>
        <w:t>Kutai</w:t>
      </w:r>
      <w:r>
        <w:rPr>
          <w:spacing w:val="-14"/>
        </w:rPr>
        <w:t> </w:t>
      </w:r>
      <w:r>
        <w:rPr/>
        <w:t>Kartanegara</w:t>
      </w:r>
      <w:r>
        <w:rPr>
          <w:spacing w:val="-15"/>
        </w:rPr>
        <w:t> </w:t>
      </w:r>
      <w:r>
        <w:rPr/>
        <w:t>yang</w:t>
      </w:r>
      <w:r>
        <w:rPr>
          <w:spacing w:val="-16"/>
        </w:rPr>
        <w:t> </w:t>
      </w:r>
      <w:r>
        <w:rPr/>
        <w:t>wilayahnya</w:t>
      </w:r>
      <w:r>
        <w:rPr>
          <w:spacing w:val="-16"/>
        </w:rPr>
        <w:t> </w:t>
      </w:r>
      <w:r>
        <w:rPr/>
        <w:t>diambil</w:t>
      </w:r>
      <w:r>
        <w:rPr>
          <w:spacing w:val="-15"/>
        </w:rPr>
        <w:t> </w:t>
      </w:r>
      <w:r>
        <w:rPr/>
        <w:t>menjadi</w:t>
      </w:r>
      <w:r>
        <w:rPr>
          <w:spacing w:val="-14"/>
        </w:rPr>
        <w:t> </w:t>
      </w:r>
      <w:r>
        <w:rPr/>
        <w:t>wilayah</w:t>
      </w:r>
      <w:r>
        <w:rPr>
          <w:spacing w:val="-11"/>
        </w:rPr>
        <w:t> </w:t>
      </w:r>
      <w:r>
        <w:rPr/>
        <w:t>IKN dan bahkan penduduknya masih tinggal di IKN? Hal ini dikaitkan dengan </w:t>
      </w:r>
      <w:r>
        <w:rPr>
          <w:spacing w:val="-4"/>
        </w:rPr>
        <w:t>penerimaan</w:t>
      </w:r>
      <w:r>
        <w:rPr>
          <w:spacing w:val="-7"/>
        </w:rPr>
        <w:t> </w:t>
      </w:r>
      <w:r>
        <w:rPr>
          <w:spacing w:val="-4"/>
        </w:rPr>
        <w:t>daerah</w:t>
      </w:r>
      <w:r>
        <w:rPr>
          <w:spacing w:val="-12"/>
        </w:rPr>
        <w:t> </w:t>
      </w:r>
      <w:r>
        <w:rPr>
          <w:spacing w:val="-4"/>
        </w:rPr>
        <w:t>yang</w:t>
      </w:r>
      <w:r>
        <w:rPr>
          <w:spacing w:val="-7"/>
        </w:rPr>
        <w:t> </w:t>
      </w:r>
      <w:r>
        <w:rPr>
          <w:spacing w:val="-4"/>
        </w:rPr>
        <w:t>tentunya</w:t>
      </w:r>
      <w:r>
        <w:rPr>
          <w:spacing w:val="-7"/>
        </w:rPr>
        <w:t> </w:t>
      </w:r>
      <w:r>
        <w:rPr>
          <w:spacing w:val="-4"/>
        </w:rPr>
        <w:t>akan</w:t>
      </w:r>
      <w:r>
        <w:rPr>
          <w:spacing w:val="-7"/>
        </w:rPr>
        <w:t> </w:t>
      </w:r>
      <w:r>
        <w:rPr>
          <w:spacing w:val="-4"/>
        </w:rPr>
        <w:t>berkurang</w:t>
      </w:r>
      <w:r>
        <w:rPr>
          <w:spacing w:val="-7"/>
        </w:rPr>
        <w:t> </w:t>
      </w:r>
      <w:r>
        <w:rPr>
          <w:spacing w:val="-4"/>
        </w:rPr>
        <w:t>dari</w:t>
      </w:r>
      <w:r>
        <w:rPr>
          <w:spacing w:val="-6"/>
        </w:rPr>
        <w:t> </w:t>
      </w:r>
      <w:r>
        <w:rPr>
          <w:spacing w:val="-4"/>
        </w:rPr>
        <w:t>dana</w:t>
      </w:r>
      <w:r>
        <w:rPr>
          <w:spacing w:val="-7"/>
        </w:rPr>
        <w:t> </w:t>
      </w:r>
      <w:r>
        <w:rPr>
          <w:spacing w:val="-4"/>
        </w:rPr>
        <w:t>bagi</w:t>
      </w:r>
      <w:r>
        <w:rPr>
          <w:spacing w:val="-6"/>
        </w:rPr>
        <w:t> </w:t>
      </w:r>
      <w:r>
        <w:rPr>
          <w:spacing w:val="-4"/>
        </w:rPr>
        <w:t>hasil</w:t>
      </w:r>
      <w:r>
        <w:rPr>
          <w:spacing w:val="-6"/>
        </w:rPr>
        <w:t> </w:t>
      </w:r>
      <w:r>
        <w:rPr>
          <w:spacing w:val="-4"/>
        </w:rPr>
        <w:t>(DBH) </w:t>
      </w:r>
      <w:r>
        <w:rPr>
          <w:spacing w:val="-2"/>
        </w:rPr>
        <w:t>dari</w:t>
      </w:r>
      <w:r>
        <w:rPr>
          <w:spacing w:val="-15"/>
        </w:rPr>
        <w:t> </w:t>
      </w:r>
      <w:r>
        <w:rPr>
          <w:spacing w:val="-2"/>
        </w:rPr>
        <w:t>hasil</w:t>
      </w:r>
      <w:r>
        <w:rPr>
          <w:spacing w:val="-14"/>
        </w:rPr>
        <w:t> </w:t>
      </w:r>
      <w:r>
        <w:rPr>
          <w:spacing w:val="-2"/>
        </w:rPr>
        <w:t>tambang</w:t>
      </w:r>
      <w:r>
        <w:rPr>
          <w:spacing w:val="-15"/>
        </w:rPr>
        <w:t> </w:t>
      </w:r>
      <w:r>
        <w:rPr>
          <w:spacing w:val="-2"/>
        </w:rPr>
        <w:t>maupun</w:t>
      </w:r>
      <w:r>
        <w:rPr>
          <w:spacing w:val="-14"/>
        </w:rPr>
        <w:t> </w:t>
      </w:r>
      <w:r>
        <w:rPr>
          <w:spacing w:val="-2"/>
        </w:rPr>
        <w:t>migas</w:t>
      </w:r>
      <w:r>
        <w:rPr>
          <w:spacing w:val="-15"/>
        </w:rPr>
        <w:t> </w:t>
      </w:r>
      <w:r>
        <w:rPr>
          <w:spacing w:val="-2"/>
        </w:rPr>
        <w:t>yang</w:t>
      </w:r>
      <w:r>
        <w:rPr>
          <w:spacing w:val="-14"/>
        </w:rPr>
        <w:t> </w:t>
      </w:r>
      <w:r>
        <w:rPr>
          <w:spacing w:val="-2"/>
        </w:rPr>
        <w:t>semula</w:t>
      </w:r>
      <w:r>
        <w:rPr>
          <w:spacing w:val="-15"/>
        </w:rPr>
        <w:t> </w:t>
      </w:r>
      <w:r>
        <w:rPr>
          <w:spacing w:val="-2"/>
        </w:rPr>
        <w:t>berada</w:t>
      </w:r>
      <w:r>
        <w:rPr>
          <w:spacing w:val="-14"/>
        </w:rPr>
        <w:t> </w:t>
      </w:r>
      <w:r>
        <w:rPr>
          <w:spacing w:val="-2"/>
        </w:rPr>
        <w:t>di</w:t>
      </w:r>
      <w:r>
        <w:rPr>
          <w:spacing w:val="-14"/>
        </w:rPr>
        <w:t> </w:t>
      </w:r>
      <w:r>
        <w:rPr>
          <w:spacing w:val="-2"/>
        </w:rPr>
        <w:t>wilayah</w:t>
      </w:r>
      <w:r>
        <w:rPr>
          <w:spacing w:val="-15"/>
        </w:rPr>
        <w:t> </w:t>
      </w:r>
      <w:r>
        <w:rPr>
          <w:spacing w:val="-2"/>
        </w:rPr>
        <w:t>Kabupaten </w:t>
      </w:r>
      <w:r>
        <w:rPr/>
        <w:t>Kutai Kartanegara beralih menjadi wilayah IKN.</w:t>
      </w:r>
    </w:p>
    <w:p>
      <w:pPr>
        <w:pStyle w:val="BodyText"/>
        <w:spacing w:line="362" w:lineRule="auto"/>
        <w:ind w:left="566" w:right="780" w:firstLine="710"/>
      </w:pPr>
      <w:r>
        <w:rPr/>
        <w:t>Selain itu, berkurangnya pendapatan juga dari dana alokasi umum (DAU)</w:t>
      </w:r>
      <w:r>
        <w:rPr>
          <w:spacing w:val="-8"/>
        </w:rPr>
        <w:t> </w:t>
      </w:r>
      <w:r>
        <w:rPr/>
        <w:t>yang</w:t>
      </w:r>
      <w:r>
        <w:rPr>
          <w:spacing w:val="-10"/>
        </w:rPr>
        <w:t> </w:t>
      </w:r>
      <w:r>
        <w:rPr/>
        <w:t>akan</w:t>
      </w:r>
      <w:r>
        <w:rPr>
          <w:spacing w:val="-9"/>
        </w:rPr>
        <w:t> </w:t>
      </w:r>
      <w:r>
        <w:rPr/>
        <w:t>diterima</w:t>
      </w:r>
      <w:r>
        <w:rPr>
          <w:spacing w:val="-4"/>
        </w:rPr>
        <w:t> </w:t>
      </w:r>
      <w:r>
        <w:rPr/>
        <w:t>pemerintah</w:t>
      </w:r>
      <w:r>
        <w:rPr>
          <w:spacing w:val="-4"/>
        </w:rPr>
        <w:t> </w:t>
      </w:r>
      <w:r>
        <w:rPr/>
        <w:t>daerah karena</w:t>
      </w:r>
      <w:r>
        <w:rPr>
          <w:spacing w:val="-10"/>
        </w:rPr>
        <w:t> </w:t>
      </w:r>
      <w:r>
        <w:rPr/>
        <w:t>berkurangnya</w:t>
      </w:r>
      <w:r>
        <w:rPr>
          <w:spacing w:val="-9"/>
        </w:rPr>
        <w:t> </w:t>
      </w:r>
      <w:r>
        <w:rPr/>
        <w:t>jumlah</w:t>
      </w:r>
    </w:p>
    <w:p>
      <w:pPr>
        <w:pStyle w:val="BodyText"/>
        <w:spacing w:after="0" w:line="362" w:lineRule="auto"/>
        <w:sectPr>
          <w:pgSz w:w="11910" w:h="16840"/>
          <w:pgMar w:header="0" w:footer="1186" w:top="1580" w:bottom="1380" w:left="1700" w:right="992"/>
        </w:sectPr>
      </w:pPr>
    </w:p>
    <w:p>
      <w:pPr>
        <w:pStyle w:val="BodyText"/>
        <w:spacing w:line="360" w:lineRule="auto" w:before="82"/>
        <w:ind w:left="566" w:right="763"/>
      </w:pPr>
      <w:r>
        <w:rPr/>
        <w:t>penduduk dan luas wilayah yang menjadi indikator penghitungan DAU, walaupun ada potensi berkurangnya pengeluaran karena berkurangnya </w:t>
      </w:r>
      <w:r>
        <w:rPr>
          <w:spacing w:val="-6"/>
        </w:rPr>
        <w:t>penduduk</w:t>
      </w:r>
      <w:r>
        <w:rPr>
          <w:spacing w:val="-11"/>
        </w:rPr>
        <w:t> </w:t>
      </w:r>
      <w:r>
        <w:rPr>
          <w:spacing w:val="-6"/>
        </w:rPr>
        <w:t>berarti</w:t>
      </w:r>
      <w:r>
        <w:rPr>
          <w:spacing w:val="-10"/>
        </w:rPr>
        <w:t> </w:t>
      </w:r>
      <w:r>
        <w:rPr>
          <w:spacing w:val="-6"/>
        </w:rPr>
        <w:t>juga</w:t>
      </w:r>
      <w:r>
        <w:rPr>
          <w:spacing w:val="-11"/>
        </w:rPr>
        <w:t> </w:t>
      </w:r>
      <w:r>
        <w:rPr>
          <w:spacing w:val="-6"/>
        </w:rPr>
        <w:t>berkurangnya</w:t>
      </w:r>
      <w:r>
        <w:rPr>
          <w:spacing w:val="-10"/>
        </w:rPr>
        <w:t> </w:t>
      </w:r>
      <w:r>
        <w:rPr>
          <w:spacing w:val="-6"/>
        </w:rPr>
        <w:t>beban</w:t>
      </w:r>
      <w:r>
        <w:rPr>
          <w:spacing w:val="-11"/>
        </w:rPr>
        <w:t> </w:t>
      </w:r>
      <w:r>
        <w:rPr>
          <w:spacing w:val="-6"/>
        </w:rPr>
        <w:t>pengeluaran</w:t>
      </w:r>
      <w:r>
        <w:rPr>
          <w:spacing w:val="-10"/>
        </w:rPr>
        <w:t> </w:t>
      </w:r>
      <w:r>
        <w:rPr>
          <w:spacing w:val="-6"/>
        </w:rPr>
        <w:t>karena</w:t>
      </w:r>
      <w:r>
        <w:rPr>
          <w:spacing w:val="-11"/>
        </w:rPr>
        <w:t> </w:t>
      </w:r>
      <w:r>
        <w:rPr>
          <w:spacing w:val="-6"/>
        </w:rPr>
        <w:t>berkurangnya </w:t>
      </w:r>
      <w:r>
        <w:rPr/>
        <w:t>jumlah</w:t>
      </w:r>
      <w:r>
        <w:rPr>
          <w:spacing w:val="-6"/>
        </w:rPr>
        <w:t> </w:t>
      </w:r>
      <w:r>
        <w:rPr/>
        <w:t>penduduk</w:t>
      </w:r>
      <w:r>
        <w:rPr>
          <w:spacing w:val="-5"/>
        </w:rPr>
        <w:t> </w:t>
      </w:r>
      <w:r>
        <w:rPr/>
        <w:t>yang</w:t>
      </w:r>
      <w:r>
        <w:rPr>
          <w:spacing w:val="-7"/>
        </w:rPr>
        <w:t> </w:t>
      </w:r>
      <w:r>
        <w:rPr/>
        <w:t>akan</w:t>
      </w:r>
      <w:r>
        <w:rPr>
          <w:spacing w:val="-6"/>
        </w:rPr>
        <w:t> </w:t>
      </w:r>
      <w:r>
        <w:rPr/>
        <w:t>dilayani.</w:t>
      </w:r>
      <w:r>
        <w:rPr>
          <w:spacing w:val="-5"/>
        </w:rPr>
        <w:t> </w:t>
      </w:r>
      <w:r>
        <w:rPr/>
        <w:t>Sebagaimana</w:t>
      </w:r>
      <w:r>
        <w:rPr>
          <w:spacing w:val="-4"/>
        </w:rPr>
        <w:t> </w:t>
      </w:r>
      <w:r>
        <w:rPr/>
        <w:t>diketahui,</w:t>
      </w:r>
      <w:r>
        <w:rPr>
          <w:spacing w:val="-5"/>
        </w:rPr>
        <w:t> </w:t>
      </w:r>
      <w:r>
        <w:rPr/>
        <w:t>berdasarkan Pasal 40 PP Nomor 55 Tahun 2005 tentang Dana Perimbangan, dimana diatur bahwa Dana Alokasi Umum (DAU) diukur dengan menggunakan </w:t>
      </w:r>
      <w:r>
        <w:rPr>
          <w:spacing w:val="-4"/>
        </w:rPr>
        <w:t>variabel</w:t>
      </w:r>
      <w:r>
        <w:rPr>
          <w:spacing w:val="-13"/>
        </w:rPr>
        <w:t> </w:t>
      </w:r>
      <w:r>
        <w:rPr>
          <w:spacing w:val="-4"/>
        </w:rPr>
        <w:t>jumlah</w:t>
      </w:r>
      <w:r>
        <w:rPr>
          <w:spacing w:val="-12"/>
        </w:rPr>
        <w:t> </w:t>
      </w:r>
      <w:r>
        <w:rPr>
          <w:spacing w:val="-4"/>
        </w:rPr>
        <w:t>penduduk,</w:t>
      </w:r>
      <w:r>
        <w:rPr>
          <w:spacing w:val="-13"/>
        </w:rPr>
        <w:t> </w:t>
      </w:r>
      <w:r>
        <w:rPr>
          <w:spacing w:val="-4"/>
        </w:rPr>
        <w:t>luas</w:t>
      </w:r>
      <w:r>
        <w:rPr>
          <w:spacing w:val="-12"/>
        </w:rPr>
        <w:t> </w:t>
      </w:r>
      <w:r>
        <w:rPr>
          <w:spacing w:val="-4"/>
        </w:rPr>
        <w:t>wilayah,</w:t>
      </w:r>
      <w:r>
        <w:rPr>
          <w:spacing w:val="-13"/>
        </w:rPr>
        <w:t> </w:t>
      </w:r>
      <w:r>
        <w:rPr>
          <w:spacing w:val="-4"/>
        </w:rPr>
        <w:t>Indeks</w:t>
      </w:r>
      <w:r>
        <w:rPr>
          <w:spacing w:val="-10"/>
        </w:rPr>
        <w:t> </w:t>
      </w:r>
      <w:r>
        <w:rPr>
          <w:spacing w:val="-4"/>
        </w:rPr>
        <w:t>Kemahalan</w:t>
      </w:r>
      <w:r>
        <w:rPr>
          <w:spacing w:val="-11"/>
        </w:rPr>
        <w:t> </w:t>
      </w:r>
      <w:r>
        <w:rPr>
          <w:spacing w:val="-4"/>
        </w:rPr>
        <w:t>Konstruksi,</w:t>
      </w:r>
      <w:r>
        <w:rPr>
          <w:spacing w:val="-11"/>
        </w:rPr>
        <w:t> </w:t>
      </w:r>
      <w:r>
        <w:rPr>
          <w:spacing w:val="-4"/>
        </w:rPr>
        <w:t>Produk </w:t>
      </w:r>
      <w:r>
        <w:rPr>
          <w:spacing w:val="-2"/>
        </w:rPr>
        <w:t>Domestik</w:t>
      </w:r>
      <w:r>
        <w:rPr>
          <w:spacing w:val="-11"/>
        </w:rPr>
        <w:t> </w:t>
      </w:r>
      <w:r>
        <w:rPr>
          <w:spacing w:val="-2"/>
        </w:rPr>
        <w:t>Regional</w:t>
      </w:r>
      <w:r>
        <w:rPr>
          <w:spacing w:val="-13"/>
        </w:rPr>
        <w:t> </w:t>
      </w:r>
      <w:r>
        <w:rPr>
          <w:spacing w:val="-2"/>
        </w:rPr>
        <w:t>Bruto</w:t>
      </w:r>
      <w:r>
        <w:rPr>
          <w:spacing w:val="-8"/>
        </w:rPr>
        <w:t> </w:t>
      </w:r>
      <w:r>
        <w:rPr>
          <w:spacing w:val="-2"/>
        </w:rPr>
        <w:t>per</w:t>
      </w:r>
      <w:r>
        <w:rPr>
          <w:spacing w:val="-14"/>
        </w:rPr>
        <w:t> </w:t>
      </w:r>
      <w:r>
        <w:rPr>
          <w:spacing w:val="-2"/>
        </w:rPr>
        <w:t>kapita,</w:t>
      </w:r>
      <w:r>
        <w:rPr>
          <w:spacing w:val="-7"/>
        </w:rPr>
        <w:t> </w:t>
      </w:r>
      <w:r>
        <w:rPr>
          <w:spacing w:val="-2"/>
        </w:rPr>
        <w:t>dan</w:t>
      </w:r>
      <w:r>
        <w:rPr>
          <w:spacing w:val="-9"/>
        </w:rPr>
        <w:t> </w:t>
      </w:r>
      <w:r>
        <w:rPr>
          <w:spacing w:val="-2"/>
        </w:rPr>
        <w:t>Indeks</w:t>
      </w:r>
      <w:r>
        <w:rPr>
          <w:spacing w:val="-12"/>
        </w:rPr>
        <w:t> </w:t>
      </w:r>
      <w:r>
        <w:rPr>
          <w:spacing w:val="-2"/>
        </w:rPr>
        <w:t>Pembangunan</w:t>
      </w:r>
      <w:r>
        <w:rPr>
          <w:spacing w:val="-9"/>
        </w:rPr>
        <w:t> </w:t>
      </w:r>
      <w:r>
        <w:rPr>
          <w:spacing w:val="-2"/>
        </w:rPr>
        <w:t>Manusia.</w:t>
      </w:r>
      <w:r>
        <w:rPr>
          <w:spacing w:val="-7"/>
        </w:rPr>
        <w:t> </w:t>
      </w:r>
      <w:r>
        <w:rPr>
          <w:spacing w:val="-2"/>
        </w:rPr>
        <w:t>Hal </w:t>
      </w:r>
      <w:r>
        <w:rPr>
          <w:spacing w:val="-4"/>
        </w:rPr>
        <w:t>ini</w:t>
      </w:r>
      <w:r>
        <w:rPr>
          <w:spacing w:val="-13"/>
        </w:rPr>
        <w:t> </w:t>
      </w:r>
      <w:r>
        <w:rPr>
          <w:spacing w:val="-4"/>
        </w:rPr>
        <w:t>memperlihatkan</w:t>
      </w:r>
      <w:r>
        <w:rPr>
          <w:spacing w:val="-12"/>
        </w:rPr>
        <w:t> </w:t>
      </w:r>
      <w:r>
        <w:rPr>
          <w:spacing w:val="-4"/>
        </w:rPr>
        <w:t>bahwa</w:t>
      </w:r>
      <w:r>
        <w:rPr>
          <w:spacing w:val="-13"/>
        </w:rPr>
        <w:t> </w:t>
      </w:r>
      <w:r>
        <w:rPr>
          <w:spacing w:val="-4"/>
        </w:rPr>
        <w:t>kehilangan</w:t>
      </w:r>
      <w:r>
        <w:rPr>
          <w:spacing w:val="-12"/>
        </w:rPr>
        <w:t> </w:t>
      </w:r>
      <w:r>
        <w:rPr>
          <w:spacing w:val="-4"/>
        </w:rPr>
        <w:t>luas</w:t>
      </w:r>
      <w:r>
        <w:rPr>
          <w:spacing w:val="-13"/>
        </w:rPr>
        <w:t> </w:t>
      </w:r>
      <w:r>
        <w:rPr>
          <w:spacing w:val="-4"/>
        </w:rPr>
        <w:t>wilayah</w:t>
      </w:r>
      <w:r>
        <w:rPr>
          <w:spacing w:val="-12"/>
        </w:rPr>
        <w:t> </w:t>
      </w:r>
      <w:r>
        <w:rPr>
          <w:spacing w:val="-4"/>
        </w:rPr>
        <w:t>yang</w:t>
      </w:r>
      <w:r>
        <w:rPr>
          <w:spacing w:val="-13"/>
        </w:rPr>
        <w:t> </w:t>
      </w:r>
      <w:r>
        <w:rPr>
          <w:spacing w:val="-4"/>
        </w:rPr>
        <w:t>diperuntukkan</w:t>
      </w:r>
      <w:r>
        <w:rPr>
          <w:spacing w:val="-12"/>
        </w:rPr>
        <w:t> </w:t>
      </w:r>
      <w:r>
        <w:rPr>
          <w:spacing w:val="-4"/>
        </w:rPr>
        <w:t>untuk </w:t>
      </w:r>
      <w:r>
        <w:rPr>
          <w:spacing w:val="-6"/>
        </w:rPr>
        <w:t>IKN</w:t>
      </w:r>
      <w:r>
        <w:rPr>
          <w:spacing w:val="-11"/>
        </w:rPr>
        <w:t> </w:t>
      </w:r>
      <w:r>
        <w:rPr>
          <w:spacing w:val="-6"/>
        </w:rPr>
        <w:t>dan</w:t>
      </w:r>
      <w:r>
        <w:rPr>
          <w:spacing w:val="-10"/>
        </w:rPr>
        <w:t> </w:t>
      </w:r>
      <w:r>
        <w:rPr>
          <w:spacing w:val="-6"/>
        </w:rPr>
        <w:t>beralihnya</w:t>
      </w:r>
      <w:r>
        <w:rPr>
          <w:spacing w:val="-11"/>
        </w:rPr>
        <w:t> </w:t>
      </w:r>
      <w:r>
        <w:rPr>
          <w:spacing w:val="-6"/>
        </w:rPr>
        <w:t>penduduk</w:t>
      </w:r>
      <w:r>
        <w:rPr>
          <w:spacing w:val="-10"/>
        </w:rPr>
        <w:t> </w:t>
      </w:r>
      <w:r>
        <w:rPr>
          <w:spacing w:val="-6"/>
        </w:rPr>
        <w:t>di</w:t>
      </w:r>
      <w:r>
        <w:rPr>
          <w:spacing w:val="-11"/>
        </w:rPr>
        <w:t> </w:t>
      </w:r>
      <w:r>
        <w:rPr>
          <w:spacing w:val="-6"/>
        </w:rPr>
        <w:t>wilayah</w:t>
      </w:r>
      <w:r>
        <w:rPr>
          <w:spacing w:val="-10"/>
        </w:rPr>
        <w:t> </w:t>
      </w:r>
      <w:r>
        <w:rPr>
          <w:spacing w:val="-6"/>
        </w:rPr>
        <w:t>tersebut</w:t>
      </w:r>
      <w:r>
        <w:rPr>
          <w:spacing w:val="-9"/>
        </w:rPr>
        <w:t> </w:t>
      </w:r>
      <w:r>
        <w:rPr>
          <w:spacing w:val="-6"/>
        </w:rPr>
        <w:t>menjadi</w:t>
      </w:r>
      <w:r>
        <w:rPr>
          <w:spacing w:val="-11"/>
        </w:rPr>
        <w:t> </w:t>
      </w:r>
      <w:r>
        <w:rPr>
          <w:spacing w:val="-6"/>
        </w:rPr>
        <w:t>penduduk</w:t>
      </w:r>
      <w:r>
        <w:rPr>
          <w:spacing w:val="-8"/>
        </w:rPr>
        <w:t> </w:t>
      </w:r>
      <w:r>
        <w:rPr>
          <w:spacing w:val="-6"/>
        </w:rPr>
        <w:t>IKN,</w:t>
      </w:r>
      <w:r>
        <w:rPr>
          <w:spacing w:val="-9"/>
        </w:rPr>
        <w:t> </w:t>
      </w:r>
      <w:r>
        <w:rPr>
          <w:spacing w:val="-6"/>
        </w:rPr>
        <w:t>akan </w:t>
      </w:r>
      <w:r>
        <w:rPr>
          <w:spacing w:val="-2"/>
        </w:rPr>
        <w:t>mengakibatkan</w:t>
      </w:r>
      <w:r>
        <w:rPr>
          <w:spacing w:val="-14"/>
        </w:rPr>
        <w:t> </w:t>
      </w:r>
      <w:r>
        <w:rPr>
          <w:spacing w:val="-2"/>
        </w:rPr>
        <w:t>berkurangnya</w:t>
      </w:r>
      <w:r>
        <w:rPr>
          <w:spacing w:val="-15"/>
        </w:rPr>
        <w:t> </w:t>
      </w:r>
      <w:r>
        <w:rPr>
          <w:spacing w:val="-2"/>
        </w:rPr>
        <w:t>DAU</w:t>
      </w:r>
      <w:r>
        <w:rPr>
          <w:spacing w:val="-20"/>
        </w:rPr>
        <w:t> </w:t>
      </w:r>
      <w:r>
        <w:rPr>
          <w:spacing w:val="-2"/>
        </w:rPr>
        <w:t>yang</w:t>
      </w:r>
      <w:r>
        <w:rPr>
          <w:spacing w:val="-16"/>
        </w:rPr>
        <w:t> </w:t>
      </w:r>
      <w:r>
        <w:rPr>
          <w:spacing w:val="-2"/>
        </w:rPr>
        <w:t>akan</w:t>
      </w:r>
      <w:r>
        <w:rPr>
          <w:spacing w:val="-14"/>
        </w:rPr>
        <w:t> </w:t>
      </w:r>
      <w:r>
        <w:rPr>
          <w:spacing w:val="-2"/>
        </w:rPr>
        <w:t>diterima</w:t>
      </w:r>
      <w:r>
        <w:rPr>
          <w:spacing w:val="-16"/>
        </w:rPr>
        <w:t> </w:t>
      </w:r>
      <w:r>
        <w:rPr>
          <w:spacing w:val="-2"/>
        </w:rPr>
        <w:t>oleh</w:t>
      </w:r>
      <w:r>
        <w:rPr>
          <w:spacing w:val="-14"/>
        </w:rPr>
        <w:t> </w:t>
      </w:r>
      <w:r>
        <w:rPr>
          <w:spacing w:val="-2"/>
        </w:rPr>
        <w:t>daerah</w:t>
      </w:r>
      <w:r>
        <w:rPr>
          <w:spacing w:val="-15"/>
        </w:rPr>
        <w:t> </w:t>
      </w:r>
      <w:r>
        <w:rPr>
          <w:spacing w:val="-2"/>
        </w:rPr>
        <w:t>mitra.</w:t>
      </w:r>
    </w:p>
    <w:p>
      <w:pPr>
        <w:pStyle w:val="BodyText"/>
        <w:spacing w:line="360" w:lineRule="auto" w:before="5"/>
        <w:ind w:left="566" w:right="767" w:firstLine="710"/>
      </w:pPr>
      <w:r>
        <w:rPr/>
        <w:t>Namun demikian, bisa jadi pengurangan luas wilayah dan jumlah </w:t>
      </w:r>
      <w:r>
        <w:rPr>
          <w:spacing w:val="-4"/>
        </w:rPr>
        <w:t>penduduk</w:t>
      </w:r>
      <w:r>
        <w:rPr>
          <w:spacing w:val="-9"/>
        </w:rPr>
        <w:t> </w:t>
      </w:r>
      <w:r>
        <w:rPr>
          <w:spacing w:val="-4"/>
        </w:rPr>
        <w:t>tidak</w:t>
      </w:r>
      <w:r>
        <w:rPr>
          <w:spacing w:val="-9"/>
        </w:rPr>
        <w:t> </w:t>
      </w:r>
      <w:r>
        <w:rPr>
          <w:spacing w:val="-4"/>
        </w:rPr>
        <w:t>berpengaruh</w:t>
      </w:r>
      <w:r>
        <w:rPr>
          <w:spacing w:val="-10"/>
        </w:rPr>
        <w:t> </w:t>
      </w:r>
      <w:r>
        <w:rPr>
          <w:spacing w:val="-4"/>
        </w:rPr>
        <w:t>signifikan</w:t>
      </w:r>
      <w:r>
        <w:rPr>
          <w:spacing w:val="-11"/>
        </w:rPr>
        <w:t> </w:t>
      </w:r>
      <w:r>
        <w:rPr>
          <w:spacing w:val="-4"/>
        </w:rPr>
        <w:t>terhadap</w:t>
      </w:r>
      <w:r>
        <w:rPr>
          <w:spacing w:val="-11"/>
        </w:rPr>
        <w:t> </w:t>
      </w:r>
      <w:r>
        <w:rPr>
          <w:spacing w:val="-4"/>
        </w:rPr>
        <w:t>potensi</w:t>
      </w:r>
      <w:r>
        <w:rPr>
          <w:spacing w:val="-10"/>
        </w:rPr>
        <w:t> </w:t>
      </w:r>
      <w:r>
        <w:rPr>
          <w:spacing w:val="-4"/>
        </w:rPr>
        <w:t>pendapatan</w:t>
      </w:r>
      <w:r>
        <w:rPr>
          <w:spacing w:val="-10"/>
        </w:rPr>
        <w:t> </w:t>
      </w:r>
      <w:r>
        <w:rPr>
          <w:spacing w:val="-4"/>
        </w:rPr>
        <w:t>daerah </w:t>
      </w:r>
      <w:r>
        <w:rPr/>
        <w:t>akibat dampak yang ditimbulkan oleh hadirnya IKN (efek domino pembangunan),</w:t>
      </w:r>
      <w:r>
        <w:rPr>
          <w:spacing w:val="-11"/>
        </w:rPr>
        <w:t> </w:t>
      </w:r>
      <w:r>
        <w:rPr/>
        <w:t>namun</w:t>
      </w:r>
      <w:r>
        <w:rPr>
          <w:spacing w:val="-12"/>
        </w:rPr>
        <w:t> </w:t>
      </w:r>
      <w:r>
        <w:rPr/>
        <w:t>penting</w:t>
      </w:r>
      <w:r>
        <w:rPr>
          <w:spacing w:val="-12"/>
        </w:rPr>
        <w:t> </w:t>
      </w:r>
      <w:r>
        <w:rPr/>
        <w:t>juga</w:t>
      </w:r>
      <w:r>
        <w:rPr>
          <w:spacing w:val="-10"/>
        </w:rPr>
        <w:t> </w:t>
      </w:r>
      <w:r>
        <w:rPr/>
        <w:t>dipertimbangkan</w:t>
      </w:r>
      <w:r>
        <w:rPr>
          <w:spacing w:val="-9"/>
        </w:rPr>
        <w:t> </w:t>
      </w:r>
      <w:r>
        <w:rPr/>
        <w:t>bahwa</w:t>
      </w:r>
      <w:r>
        <w:rPr>
          <w:spacing w:val="-12"/>
        </w:rPr>
        <w:t> </w:t>
      </w:r>
      <w:r>
        <w:rPr/>
        <w:t>efek</w:t>
      </w:r>
      <w:r>
        <w:rPr>
          <w:spacing w:val="-8"/>
        </w:rPr>
        <w:t> </w:t>
      </w:r>
      <w:r>
        <w:rPr/>
        <w:t>domino pembangunan juga menimbulkan persoalan sosial maupun lingkungan. Berkaca pada kasus Jakarta dengan daerah penyangganya Bogor, Bekasi, Depok, Tangerang, dan Cianjur, persoalan kriminal, banjir, sampah, akan menyertai kehadiran IKN bagi daerah mitra.</w:t>
      </w:r>
    </w:p>
    <w:p>
      <w:pPr>
        <w:pStyle w:val="BodyText"/>
        <w:spacing w:line="360" w:lineRule="auto"/>
        <w:ind w:left="566" w:right="767" w:firstLine="710"/>
      </w:pPr>
      <w:r>
        <w:rPr>
          <w:spacing w:val="-6"/>
        </w:rPr>
        <w:t>Hal ini jelas</w:t>
      </w:r>
      <w:r>
        <w:rPr>
          <w:spacing w:val="-11"/>
        </w:rPr>
        <w:t> </w:t>
      </w:r>
      <w:r>
        <w:rPr>
          <w:spacing w:val="-6"/>
        </w:rPr>
        <w:t>akan menimbulkan potensi pengeluaran daerah yang harus </w:t>
      </w:r>
      <w:r>
        <w:rPr/>
        <w:t>dipikirkan ke depan. Belum lagi penerimaan yang berasal dari pajak dan retribusi</w:t>
      </w:r>
      <w:r>
        <w:rPr>
          <w:spacing w:val="-17"/>
        </w:rPr>
        <w:t> </w:t>
      </w:r>
      <w:r>
        <w:rPr/>
        <w:t>dari</w:t>
      </w:r>
      <w:r>
        <w:rPr>
          <w:spacing w:val="-16"/>
        </w:rPr>
        <w:t> </w:t>
      </w:r>
      <w:r>
        <w:rPr/>
        <w:t>berbagai</w:t>
      </w:r>
      <w:r>
        <w:rPr>
          <w:spacing w:val="-17"/>
        </w:rPr>
        <w:t> </w:t>
      </w:r>
      <w:r>
        <w:rPr/>
        <w:t>kegiatan</w:t>
      </w:r>
      <w:r>
        <w:rPr>
          <w:spacing w:val="-16"/>
        </w:rPr>
        <w:t> </w:t>
      </w:r>
      <w:r>
        <w:rPr/>
        <w:t>yang</w:t>
      </w:r>
      <w:r>
        <w:rPr>
          <w:spacing w:val="-17"/>
        </w:rPr>
        <w:t> </w:t>
      </w:r>
      <w:r>
        <w:rPr/>
        <w:t>dilaksanakan</w:t>
      </w:r>
      <w:r>
        <w:rPr>
          <w:spacing w:val="-16"/>
        </w:rPr>
        <w:t> </w:t>
      </w:r>
      <w:r>
        <w:rPr/>
        <w:t>penduduknya.</w:t>
      </w:r>
      <w:r>
        <w:rPr>
          <w:spacing w:val="-17"/>
        </w:rPr>
        <w:t> </w:t>
      </w:r>
      <w:r>
        <w:rPr/>
        <w:t>Ditambah </w:t>
      </w:r>
      <w:r>
        <w:rPr>
          <w:spacing w:val="-4"/>
        </w:rPr>
        <w:t>lagi</w:t>
      </w:r>
      <w:r>
        <w:rPr>
          <w:spacing w:val="-13"/>
        </w:rPr>
        <w:t> </w:t>
      </w:r>
      <w:r>
        <w:rPr>
          <w:spacing w:val="-4"/>
        </w:rPr>
        <w:t>sebagai</w:t>
      </w:r>
      <w:r>
        <w:rPr>
          <w:spacing w:val="-12"/>
        </w:rPr>
        <w:t> </w:t>
      </w:r>
      <w:r>
        <w:rPr>
          <w:spacing w:val="-4"/>
        </w:rPr>
        <w:t>daerah</w:t>
      </w:r>
      <w:r>
        <w:rPr>
          <w:spacing w:val="-13"/>
        </w:rPr>
        <w:t> </w:t>
      </w:r>
      <w:r>
        <w:rPr>
          <w:spacing w:val="-4"/>
        </w:rPr>
        <w:t>mitra,</w:t>
      </w:r>
      <w:r>
        <w:rPr>
          <w:spacing w:val="-12"/>
        </w:rPr>
        <w:t> </w:t>
      </w:r>
      <w:r>
        <w:rPr>
          <w:spacing w:val="-4"/>
        </w:rPr>
        <w:t>tentu</w:t>
      </w:r>
      <w:r>
        <w:rPr>
          <w:spacing w:val="-13"/>
        </w:rPr>
        <w:t> </w:t>
      </w:r>
      <w:r>
        <w:rPr>
          <w:spacing w:val="-4"/>
        </w:rPr>
        <w:t>daerah</w:t>
      </w:r>
      <w:r>
        <w:rPr>
          <w:spacing w:val="-12"/>
        </w:rPr>
        <w:t> </w:t>
      </w:r>
      <w:r>
        <w:rPr>
          <w:spacing w:val="-4"/>
        </w:rPr>
        <w:t>Provinsi</w:t>
      </w:r>
      <w:r>
        <w:rPr>
          <w:spacing w:val="-11"/>
        </w:rPr>
        <w:t> </w:t>
      </w:r>
      <w:r>
        <w:rPr>
          <w:spacing w:val="-4"/>
        </w:rPr>
        <w:t>Kalimantan</w:t>
      </w:r>
      <w:r>
        <w:rPr>
          <w:spacing w:val="-12"/>
        </w:rPr>
        <w:t> </w:t>
      </w:r>
      <w:r>
        <w:rPr>
          <w:spacing w:val="-4"/>
        </w:rPr>
        <w:t>Timur,</w:t>
      </w:r>
      <w:r>
        <w:rPr>
          <w:spacing w:val="-12"/>
        </w:rPr>
        <w:t> </w:t>
      </w:r>
      <w:r>
        <w:rPr>
          <w:spacing w:val="-4"/>
        </w:rPr>
        <w:t>Kabupaten </w:t>
      </w:r>
      <w:r>
        <w:rPr/>
        <w:t>Kutai</w:t>
      </w:r>
      <w:r>
        <w:rPr>
          <w:spacing w:val="-8"/>
        </w:rPr>
        <w:t> </w:t>
      </w:r>
      <w:r>
        <w:rPr/>
        <w:t>Kartanegara,</w:t>
      </w:r>
      <w:r>
        <w:rPr>
          <w:spacing w:val="-6"/>
        </w:rPr>
        <w:t> </w:t>
      </w:r>
      <w:r>
        <w:rPr/>
        <w:t>dan</w:t>
      </w:r>
      <w:r>
        <w:rPr>
          <w:spacing w:val="-8"/>
        </w:rPr>
        <w:t> </w:t>
      </w:r>
      <w:r>
        <w:rPr/>
        <w:t>Kabupaten</w:t>
      </w:r>
      <w:r>
        <w:rPr>
          <w:spacing w:val="-8"/>
        </w:rPr>
        <w:t> </w:t>
      </w:r>
      <w:r>
        <w:rPr/>
        <w:t>Penajam</w:t>
      </w:r>
      <w:r>
        <w:rPr>
          <w:spacing w:val="-7"/>
        </w:rPr>
        <w:t> </w:t>
      </w:r>
      <w:r>
        <w:rPr/>
        <w:t>Paser</w:t>
      </w:r>
      <w:r>
        <w:rPr>
          <w:spacing w:val="-9"/>
        </w:rPr>
        <w:t> </w:t>
      </w:r>
      <w:r>
        <w:rPr/>
        <w:t>Utara</w:t>
      </w:r>
      <w:r>
        <w:rPr>
          <w:spacing w:val="-9"/>
        </w:rPr>
        <w:t> </w:t>
      </w:r>
      <w:r>
        <w:rPr/>
        <w:t>akan</w:t>
      </w:r>
      <w:r>
        <w:rPr>
          <w:spacing w:val="-8"/>
        </w:rPr>
        <w:t> </w:t>
      </w:r>
      <w:r>
        <w:rPr/>
        <w:t>menanggung beban</w:t>
      </w:r>
      <w:r>
        <w:rPr>
          <w:spacing w:val="-17"/>
        </w:rPr>
        <w:t> </w:t>
      </w:r>
      <w:r>
        <w:rPr/>
        <w:t>sosial</w:t>
      </w:r>
      <w:r>
        <w:rPr>
          <w:spacing w:val="-16"/>
        </w:rPr>
        <w:t> </w:t>
      </w:r>
      <w:r>
        <w:rPr/>
        <w:t>atas</w:t>
      </w:r>
      <w:r>
        <w:rPr>
          <w:spacing w:val="-17"/>
        </w:rPr>
        <w:t> </w:t>
      </w:r>
      <w:r>
        <w:rPr/>
        <w:t>perkembangan</w:t>
      </w:r>
      <w:r>
        <w:rPr>
          <w:spacing w:val="-16"/>
        </w:rPr>
        <w:t> </w:t>
      </w:r>
      <w:r>
        <w:rPr/>
        <w:t>ekonomi</w:t>
      </w:r>
      <w:r>
        <w:rPr>
          <w:spacing w:val="-17"/>
        </w:rPr>
        <w:t> </w:t>
      </w:r>
      <w:r>
        <w:rPr/>
        <w:t>yang</w:t>
      </w:r>
      <w:r>
        <w:rPr>
          <w:spacing w:val="-16"/>
        </w:rPr>
        <w:t> </w:t>
      </w:r>
      <w:r>
        <w:rPr/>
        <w:t>terjadi</w:t>
      </w:r>
      <w:r>
        <w:rPr>
          <w:spacing w:val="-17"/>
        </w:rPr>
        <w:t> </w:t>
      </w:r>
      <w:r>
        <w:rPr/>
        <w:t>di</w:t>
      </w:r>
      <w:r>
        <w:rPr>
          <w:spacing w:val="-16"/>
        </w:rPr>
        <w:t> </w:t>
      </w:r>
      <w:r>
        <w:rPr/>
        <w:t>sekitar</w:t>
      </w:r>
      <w:r>
        <w:rPr>
          <w:spacing w:val="-16"/>
        </w:rPr>
        <w:t> </w:t>
      </w:r>
      <w:r>
        <w:rPr/>
        <w:t>IKN.</w:t>
      </w:r>
      <w:r>
        <w:rPr>
          <w:spacing w:val="-17"/>
        </w:rPr>
        <w:t> </w:t>
      </w:r>
      <w:r>
        <w:rPr/>
        <w:t>Hal</w:t>
      </w:r>
      <w:r>
        <w:rPr>
          <w:spacing w:val="-16"/>
        </w:rPr>
        <w:t> </w:t>
      </w:r>
      <w:r>
        <w:rPr/>
        <w:t>ini tentu menjadi penting untuk dipikirkan agar penerimaan daerah dan pengeluaran daerah dapat diseimbangkan.Dengan melihat pada proses pembentukan UU Nomor 3 Tahun 2022</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6" w:firstLine="710"/>
      </w:pPr>
      <w:r>
        <w:rPr/>
        <w:t>Tentang</w:t>
      </w:r>
      <w:r>
        <w:rPr>
          <w:spacing w:val="-10"/>
        </w:rPr>
        <w:t> </w:t>
      </w:r>
      <w:r>
        <w:rPr/>
        <w:t>IKN</w:t>
      </w:r>
      <w:r>
        <w:rPr>
          <w:spacing w:val="-10"/>
        </w:rPr>
        <w:t> </w:t>
      </w:r>
      <w:r>
        <w:rPr/>
        <w:t>yang</w:t>
      </w:r>
      <w:r>
        <w:rPr>
          <w:spacing w:val="-10"/>
        </w:rPr>
        <w:t> </w:t>
      </w:r>
      <w:r>
        <w:rPr/>
        <w:t>kebijakannya</w:t>
      </w:r>
      <w:r>
        <w:rPr>
          <w:spacing w:val="-10"/>
        </w:rPr>
        <w:t> </w:t>
      </w:r>
      <w:r>
        <w:rPr/>
        <w:t>dibuat</w:t>
      </w:r>
      <w:r>
        <w:rPr>
          <w:spacing w:val="-6"/>
        </w:rPr>
        <w:t> </w:t>
      </w:r>
      <w:r>
        <w:rPr/>
        <w:t>terkesan</w:t>
      </w:r>
      <w:r>
        <w:rPr>
          <w:spacing w:val="-10"/>
        </w:rPr>
        <w:t> </w:t>
      </w:r>
      <w:r>
        <w:rPr/>
        <w:t>tergesa-gesa,</w:t>
      </w:r>
      <w:r>
        <w:rPr>
          <w:spacing w:val="-9"/>
        </w:rPr>
        <w:t> </w:t>
      </w:r>
      <w:r>
        <w:rPr/>
        <w:t>tanpa </w:t>
      </w:r>
      <w:r>
        <w:rPr>
          <w:spacing w:val="-6"/>
        </w:rPr>
        <w:t>melibatkan partisipasi daerah mitra secara memadai (Katharina &amp; Nainggolan, </w:t>
      </w:r>
      <w:r>
        <w:rPr/>
        <w:t>2022), hadirnya</w:t>
      </w:r>
      <w:r>
        <w:rPr>
          <w:spacing w:val="-1"/>
        </w:rPr>
        <w:t> </w:t>
      </w:r>
      <w:r>
        <w:rPr/>
        <w:t>IKN</w:t>
      </w:r>
      <w:r>
        <w:rPr>
          <w:spacing w:val="-1"/>
        </w:rPr>
        <w:t> </w:t>
      </w:r>
      <w:r>
        <w:rPr/>
        <w:t>berpotensi menimbulkan persoalan, khususnya</w:t>
      </w:r>
      <w:r>
        <w:rPr>
          <w:spacing w:val="-1"/>
        </w:rPr>
        <w:t> </w:t>
      </w:r>
      <w:r>
        <w:rPr/>
        <w:t>terkait keuangan daerah mitra. Oleh karena itu, potensi kehilangan pendapatan </w:t>
      </w:r>
      <w:r>
        <w:rPr>
          <w:spacing w:val="-2"/>
        </w:rPr>
        <w:t>Kabupaten</w:t>
      </w:r>
      <w:r>
        <w:rPr>
          <w:spacing w:val="-15"/>
        </w:rPr>
        <w:t> </w:t>
      </w:r>
      <w:r>
        <w:rPr>
          <w:spacing w:val="-2"/>
        </w:rPr>
        <w:t>Kutai</w:t>
      </w:r>
      <w:r>
        <w:rPr>
          <w:spacing w:val="-14"/>
        </w:rPr>
        <w:t> </w:t>
      </w:r>
      <w:r>
        <w:rPr>
          <w:spacing w:val="-2"/>
        </w:rPr>
        <w:t>Kartanegara</w:t>
      </w:r>
      <w:r>
        <w:rPr>
          <w:spacing w:val="-15"/>
        </w:rPr>
        <w:t> </w:t>
      </w:r>
      <w:r>
        <w:rPr>
          <w:spacing w:val="-2"/>
        </w:rPr>
        <w:t>bisa</w:t>
      </w:r>
      <w:r>
        <w:rPr>
          <w:spacing w:val="-14"/>
        </w:rPr>
        <w:t> </w:t>
      </w:r>
      <w:r>
        <w:rPr>
          <w:spacing w:val="-2"/>
        </w:rPr>
        <w:t>dikatakan</w:t>
      </w:r>
      <w:r>
        <w:rPr>
          <w:spacing w:val="-15"/>
        </w:rPr>
        <w:t> </w:t>
      </w:r>
      <w:r>
        <w:rPr>
          <w:spacing w:val="-2"/>
        </w:rPr>
        <w:t>menjadi</w:t>
      </w:r>
      <w:r>
        <w:rPr>
          <w:spacing w:val="-14"/>
        </w:rPr>
        <w:t> </w:t>
      </w:r>
      <w:r>
        <w:rPr>
          <w:spacing w:val="-2"/>
        </w:rPr>
        <w:t>sebuah</w:t>
      </w:r>
      <w:r>
        <w:rPr>
          <w:spacing w:val="-13"/>
        </w:rPr>
        <w:t> </w:t>
      </w:r>
      <w:r>
        <w:rPr>
          <w:spacing w:val="-2"/>
        </w:rPr>
        <w:t>persoalan</w:t>
      </w:r>
      <w:r>
        <w:rPr>
          <w:spacing w:val="-13"/>
        </w:rPr>
        <w:t> </w:t>
      </w:r>
      <w:r>
        <w:rPr>
          <w:spacing w:val="-2"/>
        </w:rPr>
        <w:t>yang tidak</w:t>
      </w:r>
      <w:r>
        <w:rPr>
          <w:spacing w:val="-13"/>
        </w:rPr>
        <w:t> </w:t>
      </w:r>
      <w:r>
        <w:rPr>
          <w:spacing w:val="-2"/>
        </w:rPr>
        <w:t>terpikirkan</w:t>
      </w:r>
      <w:r>
        <w:rPr>
          <w:spacing w:val="-14"/>
        </w:rPr>
        <w:t> </w:t>
      </w:r>
      <w:r>
        <w:rPr>
          <w:spacing w:val="-2"/>
        </w:rPr>
        <w:t>sebelumnya</w:t>
      </w:r>
      <w:r>
        <w:rPr>
          <w:spacing w:val="-15"/>
        </w:rPr>
        <w:t> </w:t>
      </w:r>
      <w:r>
        <w:rPr>
          <w:spacing w:val="-2"/>
        </w:rPr>
        <w:t>oleh</w:t>
      </w:r>
      <w:r>
        <w:rPr>
          <w:spacing w:val="-14"/>
        </w:rPr>
        <w:t> </w:t>
      </w:r>
      <w:r>
        <w:rPr>
          <w:spacing w:val="-2"/>
        </w:rPr>
        <w:t>para</w:t>
      </w:r>
      <w:r>
        <w:rPr>
          <w:spacing w:val="-16"/>
        </w:rPr>
        <w:t> </w:t>
      </w:r>
      <w:r>
        <w:rPr>
          <w:spacing w:val="-2"/>
        </w:rPr>
        <w:t>pembuat</w:t>
      </w:r>
      <w:r>
        <w:rPr>
          <w:spacing w:val="-8"/>
        </w:rPr>
        <w:t> </w:t>
      </w:r>
      <w:r>
        <w:rPr>
          <w:spacing w:val="-2"/>
        </w:rPr>
        <w:t>kebijakan.</w:t>
      </w:r>
    </w:p>
    <w:p>
      <w:pPr>
        <w:pStyle w:val="BodyText"/>
        <w:spacing w:line="360" w:lineRule="auto" w:before="3"/>
        <w:ind w:left="566" w:right="763" w:firstLine="710"/>
      </w:pPr>
      <w:r>
        <w:rPr/>
        <w:t>Berdasarkan</w:t>
      </w:r>
      <w:r>
        <w:rPr>
          <w:spacing w:val="-10"/>
        </w:rPr>
        <w:t> </w:t>
      </w:r>
      <w:r>
        <w:rPr/>
        <w:t>UU</w:t>
      </w:r>
      <w:r>
        <w:rPr>
          <w:spacing w:val="-11"/>
        </w:rPr>
        <w:t> </w:t>
      </w:r>
      <w:r>
        <w:rPr/>
        <w:t>Nomor</w:t>
      </w:r>
      <w:r>
        <w:rPr>
          <w:spacing w:val="-11"/>
        </w:rPr>
        <w:t> </w:t>
      </w:r>
      <w:r>
        <w:rPr/>
        <w:t>3</w:t>
      </w:r>
      <w:r>
        <w:rPr>
          <w:spacing w:val="-9"/>
        </w:rPr>
        <w:t> </w:t>
      </w:r>
      <w:r>
        <w:rPr/>
        <w:t>Tahun</w:t>
      </w:r>
      <w:r>
        <w:rPr>
          <w:spacing w:val="-11"/>
        </w:rPr>
        <w:t> </w:t>
      </w:r>
      <w:r>
        <w:rPr/>
        <w:t>2022,</w:t>
      </w:r>
      <w:r>
        <w:rPr>
          <w:spacing w:val="-9"/>
        </w:rPr>
        <w:t> </w:t>
      </w:r>
      <w:r>
        <w:rPr/>
        <w:t>Kabupaten</w:t>
      </w:r>
      <w:r>
        <w:rPr>
          <w:spacing w:val="-11"/>
        </w:rPr>
        <w:t> </w:t>
      </w:r>
      <w:r>
        <w:rPr/>
        <w:t>Kutai</w:t>
      </w:r>
      <w:r>
        <w:rPr>
          <w:spacing w:val="-10"/>
        </w:rPr>
        <w:t> </w:t>
      </w:r>
      <w:r>
        <w:rPr/>
        <w:t>Kartanegara </w:t>
      </w:r>
      <w:r>
        <w:rPr>
          <w:spacing w:val="-4"/>
        </w:rPr>
        <w:t>menjadi</w:t>
      </w:r>
      <w:r>
        <w:rPr>
          <w:spacing w:val="-13"/>
        </w:rPr>
        <w:t> </w:t>
      </w:r>
      <w:r>
        <w:rPr>
          <w:spacing w:val="-4"/>
        </w:rPr>
        <w:t>daerah</w:t>
      </w:r>
      <w:r>
        <w:rPr>
          <w:spacing w:val="-12"/>
        </w:rPr>
        <w:t> </w:t>
      </w:r>
      <w:r>
        <w:rPr>
          <w:spacing w:val="-4"/>
        </w:rPr>
        <w:t>mitra</w:t>
      </w:r>
      <w:r>
        <w:rPr>
          <w:spacing w:val="-11"/>
        </w:rPr>
        <w:t> </w:t>
      </w:r>
      <w:r>
        <w:rPr>
          <w:spacing w:val="-4"/>
        </w:rPr>
        <w:t>yang</w:t>
      </w:r>
      <w:r>
        <w:rPr>
          <w:spacing w:val="-12"/>
        </w:rPr>
        <w:t> </w:t>
      </w:r>
      <w:r>
        <w:rPr>
          <w:spacing w:val="-4"/>
        </w:rPr>
        <w:t>sebagian</w:t>
      </w:r>
      <w:r>
        <w:rPr>
          <w:spacing w:val="-11"/>
        </w:rPr>
        <w:t> </w:t>
      </w:r>
      <w:r>
        <w:rPr>
          <w:spacing w:val="-4"/>
        </w:rPr>
        <w:t>wilayahnya</w:t>
      </w:r>
      <w:r>
        <w:rPr>
          <w:spacing w:val="-7"/>
        </w:rPr>
        <w:t> </w:t>
      </w:r>
      <w:r>
        <w:rPr>
          <w:spacing w:val="-4"/>
        </w:rPr>
        <w:t>masuk</w:t>
      </w:r>
      <w:r>
        <w:rPr>
          <w:spacing w:val="-13"/>
        </w:rPr>
        <w:t> </w:t>
      </w:r>
      <w:r>
        <w:rPr>
          <w:spacing w:val="-4"/>
        </w:rPr>
        <w:t>ke</w:t>
      </w:r>
      <w:r>
        <w:rPr>
          <w:spacing w:val="-10"/>
        </w:rPr>
        <w:t> </w:t>
      </w:r>
      <w:r>
        <w:rPr>
          <w:spacing w:val="-4"/>
        </w:rPr>
        <w:t>dalam</w:t>
      </w:r>
      <w:r>
        <w:rPr>
          <w:spacing w:val="-13"/>
        </w:rPr>
        <w:t> </w:t>
      </w:r>
      <w:r>
        <w:rPr>
          <w:spacing w:val="-4"/>
        </w:rPr>
        <w:t>wilayah</w:t>
      </w:r>
      <w:r>
        <w:rPr>
          <w:spacing w:val="-11"/>
        </w:rPr>
        <w:t> </w:t>
      </w:r>
      <w:r>
        <w:rPr>
          <w:spacing w:val="-4"/>
        </w:rPr>
        <w:t>IKN. </w:t>
      </w:r>
      <w:r>
        <w:rPr/>
        <w:t>Adapun</w:t>
      </w:r>
      <w:r>
        <w:rPr>
          <w:spacing w:val="-5"/>
        </w:rPr>
        <w:t> </w:t>
      </w:r>
      <w:r>
        <w:rPr/>
        <w:t>wilayah</w:t>
      </w:r>
      <w:r>
        <w:rPr>
          <w:spacing w:val="-5"/>
        </w:rPr>
        <w:t> </w:t>
      </w:r>
      <w:r>
        <w:rPr/>
        <w:t>yang</w:t>
      </w:r>
      <w:r>
        <w:rPr>
          <w:spacing w:val="-5"/>
        </w:rPr>
        <w:t> </w:t>
      </w:r>
      <w:r>
        <w:rPr/>
        <w:t>menjadi</w:t>
      </w:r>
      <w:r>
        <w:rPr>
          <w:spacing w:val="-5"/>
        </w:rPr>
        <w:t> </w:t>
      </w:r>
      <w:r>
        <w:rPr/>
        <w:t>bagian</w:t>
      </w:r>
      <w:r>
        <w:rPr>
          <w:spacing w:val="-5"/>
        </w:rPr>
        <w:t> </w:t>
      </w:r>
      <w:r>
        <w:rPr/>
        <w:t>dari</w:t>
      </w:r>
      <w:r>
        <w:rPr>
          <w:spacing w:val="-5"/>
        </w:rPr>
        <w:t> </w:t>
      </w:r>
      <w:r>
        <w:rPr/>
        <w:t>wilayah</w:t>
      </w:r>
      <w:r>
        <w:rPr>
          <w:spacing w:val="-5"/>
        </w:rPr>
        <w:t> </w:t>
      </w:r>
      <w:r>
        <w:rPr/>
        <w:t>IKN</w:t>
      </w:r>
      <w:r>
        <w:rPr>
          <w:spacing w:val="-6"/>
        </w:rPr>
        <w:t> </w:t>
      </w:r>
      <w:r>
        <w:rPr/>
        <w:t>terdiri</w:t>
      </w:r>
      <w:r>
        <w:rPr>
          <w:spacing w:val="-4"/>
        </w:rPr>
        <w:t> </w:t>
      </w:r>
      <w:r>
        <w:rPr/>
        <w:t>dari</w:t>
      </w:r>
      <w:r>
        <w:rPr>
          <w:spacing w:val="-5"/>
        </w:rPr>
        <w:t> </w:t>
      </w:r>
      <w:r>
        <w:rPr/>
        <w:t>6</w:t>
      </w:r>
      <w:r>
        <w:rPr>
          <w:spacing w:val="-4"/>
        </w:rPr>
        <w:t> </w:t>
      </w:r>
      <w:r>
        <w:rPr/>
        <w:t>(enam) kecamatan,</w:t>
      </w:r>
      <w:r>
        <w:rPr>
          <w:spacing w:val="-10"/>
        </w:rPr>
        <w:t> </w:t>
      </w:r>
      <w:r>
        <w:rPr/>
        <w:t>yaitu</w:t>
      </w:r>
      <w:r>
        <w:rPr>
          <w:spacing w:val="-16"/>
        </w:rPr>
        <w:t> </w:t>
      </w:r>
      <w:r>
        <w:rPr/>
        <w:t>Kecamatan</w:t>
      </w:r>
      <w:r>
        <w:rPr>
          <w:spacing w:val="-16"/>
        </w:rPr>
        <w:t> </w:t>
      </w:r>
      <w:r>
        <w:rPr/>
        <w:t>Samboja,</w:t>
      </w:r>
      <w:r>
        <w:rPr>
          <w:spacing w:val="-10"/>
        </w:rPr>
        <w:t> </w:t>
      </w:r>
      <w:r>
        <w:rPr/>
        <w:t>Kecamatan</w:t>
      </w:r>
      <w:r>
        <w:rPr>
          <w:spacing w:val="-11"/>
        </w:rPr>
        <w:t> </w:t>
      </w:r>
      <w:r>
        <w:rPr/>
        <w:t>Samboja</w:t>
      </w:r>
      <w:r>
        <w:rPr>
          <w:spacing w:val="-16"/>
        </w:rPr>
        <w:t> </w:t>
      </w:r>
      <w:r>
        <w:rPr/>
        <w:t>Barat,</w:t>
      </w:r>
      <w:r>
        <w:rPr>
          <w:spacing w:val="-14"/>
        </w:rPr>
        <w:t> </w:t>
      </w:r>
      <w:r>
        <w:rPr/>
        <w:t>sebagian </w:t>
      </w:r>
      <w:r>
        <w:rPr>
          <w:spacing w:val="-2"/>
        </w:rPr>
        <w:t>Kecamatan</w:t>
      </w:r>
      <w:r>
        <w:rPr>
          <w:spacing w:val="-13"/>
        </w:rPr>
        <w:t> </w:t>
      </w:r>
      <w:r>
        <w:rPr>
          <w:spacing w:val="-2"/>
        </w:rPr>
        <w:t>Muara</w:t>
      </w:r>
      <w:r>
        <w:rPr>
          <w:spacing w:val="-14"/>
        </w:rPr>
        <w:t> </w:t>
      </w:r>
      <w:r>
        <w:rPr>
          <w:spacing w:val="-2"/>
        </w:rPr>
        <w:t>Jawa,</w:t>
      </w:r>
      <w:r>
        <w:rPr>
          <w:spacing w:val="-5"/>
        </w:rPr>
        <w:t> </w:t>
      </w:r>
      <w:r>
        <w:rPr>
          <w:spacing w:val="-2"/>
        </w:rPr>
        <w:t>sebagian</w:t>
      </w:r>
      <w:r>
        <w:rPr>
          <w:spacing w:val="-13"/>
        </w:rPr>
        <w:t> </w:t>
      </w:r>
      <w:r>
        <w:rPr>
          <w:spacing w:val="-2"/>
        </w:rPr>
        <w:t>Kecamatan</w:t>
      </w:r>
      <w:r>
        <w:rPr>
          <w:spacing w:val="-13"/>
        </w:rPr>
        <w:t> </w:t>
      </w:r>
      <w:r>
        <w:rPr>
          <w:spacing w:val="-2"/>
        </w:rPr>
        <w:t>Loa</w:t>
      </w:r>
      <w:r>
        <w:rPr>
          <w:spacing w:val="-9"/>
        </w:rPr>
        <w:t> </w:t>
      </w:r>
      <w:r>
        <w:rPr>
          <w:spacing w:val="-2"/>
        </w:rPr>
        <w:t>Kulu,</w:t>
      </w:r>
      <w:r>
        <w:rPr>
          <w:spacing w:val="-6"/>
        </w:rPr>
        <w:t> </w:t>
      </w:r>
      <w:r>
        <w:rPr>
          <w:spacing w:val="-2"/>
        </w:rPr>
        <w:t>sebagian</w:t>
      </w:r>
      <w:r>
        <w:rPr>
          <w:spacing w:val="-8"/>
        </w:rPr>
        <w:t> </w:t>
      </w:r>
      <w:r>
        <w:rPr>
          <w:spacing w:val="-2"/>
        </w:rPr>
        <w:t>Kecamatan </w:t>
      </w:r>
      <w:r>
        <w:rPr/>
        <w:t>Loa Janan, dan sebagian Kecamatan Sanga-Sanga. Keenam wilayah kecamatan ini</w:t>
      </w:r>
      <w:r>
        <w:rPr>
          <w:spacing w:val="-1"/>
        </w:rPr>
        <w:t> </w:t>
      </w:r>
      <w:r>
        <w:rPr/>
        <w:t>memiliki sumber pendapata yang potensial bagi Kabupaten Kutai</w:t>
      </w:r>
      <w:r>
        <w:rPr>
          <w:spacing w:val="-14"/>
        </w:rPr>
        <w:t> </w:t>
      </w:r>
      <w:r>
        <w:rPr/>
        <w:t>Kartanegara</w:t>
      </w:r>
      <w:r>
        <w:rPr>
          <w:spacing w:val="-15"/>
        </w:rPr>
        <w:t> </w:t>
      </w:r>
      <w:r>
        <w:rPr/>
        <w:t>–</w:t>
      </w:r>
      <w:r>
        <w:rPr>
          <w:spacing w:val="-8"/>
        </w:rPr>
        <w:t> </w:t>
      </w:r>
      <w:r>
        <w:rPr/>
        <w:t>terutama</w:t>
      </w:r>
      <w:r>
        <w:rPr>
          <w:spacing w:val="-11"/>
        </w:rPr>
        <w:t> </w:t>
      </w:r>
      <w:r>
        <w:rPr/>
        <w:t>Dana</w:t>
      </w:r>
      <w:r>
        <w:rPr>
          <w:spacing w:val="-11"/>
        </w:rPr>
        <w:t> </w:t>
      </w:r>
      <w:r>
        <w:rPr/>
        <w:t>Bagi</w:t>
      </w:r>
      <w:r>
        <w:rPr>
          <w:spacing w:val="-14"/>
        </w:rPr>
        <w:t> </w:t>
      </w:r>
      <w:r>
        <w:rPr/>
        <w:t>Hasil</w:t>
      </w:r>
      <w:r>
        <w:rPr>
          <w:spacing w:val="-9"/>
        </w:rPr>
        <w:t> </w:t>
      </w:r>
      <w:r>
        <w:rPr/>
        <w:t>–</w:t>
      </w:r>
      <w:r>
        <w:rPr>
          <w:spacing w:val="-9"/>
        </w:rPr>
        <w:t> </w:t>
      </w:r>
      <w:r>
        <w:rPr/>
        <w:t>yang</w:t>
      </w:r>
      <w:r>
        <w:rPr>
          <w:spacing w:val="-11"/>
        </w:rPr>
        <w:t> </w:t>
      </w:r>
      <w:r>
        <w:rPr/>
        <w:t>bersumber</w:t>
      </w:r>
      <w:r>
        <w:rPr>
          <w:spacing w:val="-10"/>
        </w:rPr>
        <w:t> </w:t>
      </w:r>
      <w:r>
        <w:rPr/>
        <w:t>dari</w:t>
      </w:r>
      <w:r>
        <w:rPr>
          <w:spacing w:val="-14"/>
        </w:rPr>
        <w:t> </w:t>
      </w:r>
      <w:r>
        <w:rPr/>
        <w:t>sektor </w:t>
      </w:r>
      <w:r>
        <w:rPr>
          <w:spacing w:val="-6"/>
        </w:rPr>
        <w:t>pertambangan</w:t>
      </w:r>
      <w:r>
        <w:rPr>
          <w:spacing w:val="-11"/>
        </w:rPr>
        <w:t> </w:t>
      </w:r>
      <w:r>
        <w:rPr>
          <w:spacing w:val="-6"/>
        </w:rPr>
        <w:t>dan</w:t>
      </w:r>
      <w:r>
        <w:rPr>
          <w:spacing w:val="-10"/>
        </w:rPr>
        <w:t> </w:t>
      </w:r>
      <w:r>
        <w:rPr>
          <w:spacing w:val="-6"/>
        </w:rPr>
        <w:t>migas.</w:t>
      </w:r>
      <w:r>
        <w:rPr>
          <w:spacing w:val="-11"/>
        </w:rPr>
        <w:t> </w:t>
      </w:r>
      <w:r>
        <w:rPr>
          <w:spacing w:val="-6"/>
        </w:rPr>
        <w:t>Dengan</w:t>
      </w:r>
      <w:r>
        <w:rPr>
          <w:spacing w:val="-10"/>
        </w:rPr>
        <w:t> </w:t>
      </w:r>
      <w:r>
        <w:rPr>
          <w:spacing w:val="-6"/>
        </w:rPr>
        <w:t>bergabungnya</w:t>
      </w:r>
      <w:r>
        <w:rPr>
          <w:spacing w:val="-11"/>
        </w:rPr>
        <w:t> </w:t>
      </w:r>
      <w:r>
        <w:rPr>
          <w:spacing w:val="-6"/>
        </w:rPr>
        <w:t>6</w:t>
      </w:r>
      <w:r>
        <w:rPr>
          <w:spacing w:val="-10"/>
        </w:rPr>
        <w:t> </w:t>
      </w:r>
      <w:r>
        <w:rPr>
          <w:spacing w:val="-6"/>
        </w:rPr>
        <w:t>(enam)</w:t>
      </w:r>
      <w:r>
        <w:rPr>
          <w:spacing w:val="-11"/>
        </w:rPr>
        <w:t> </w:t>
      </w:r>
      <w:r>
        <w:rPr>
          <w:spacing w:val="-6"/>
        </w:rPr>
        <w:t>wilayah</w:t>
      </w:r>
      <w:r>
        <w:rPr>
          <w:spacing w:val="-10"/>
        </w:rPr>
        <w:t> </w:t>
      </w:r>
      <w:r>
        <w:rPr>
          <w:spacing w:val="-6"/>
        </w:rPr>
        <w:t>kecamatan </w:t>
      </w:r>
      <w:r>
        <w:rPr/>
        <w:t>ke dalam wilayah IKN tersebut, mengakibatkan berkurangnya sumber </w:t>
      </w:r>
      <w:r>
        <w:rPr>
          <w:spacing w:val="-6"/>
        </w:rPr>
        <w:t>pendapatan</w:t>
      </w:r>
      <w:r>
        <w:rPr>
          <w:spacing w:val="-10"/>
        </w:rPr>
        <w:t> </w:t>
      </w:r>
      <w:r>
        <w:rPr>
          <w:spacing w:val="-6"/>
        </w:rPr>
        <w:t>daerah</w:t>
      </w:r>
      <w:r>
        <w:rPr>
          <w:spacing w:val="-11"/>
        </w:rPr>
        <w:t> </w:t>
      </w:r>
      <w:r>
        <w:rPr>
          <w:spacing w:val="-6"/>
        </w:rPr>
        <w:t>Kutai</w:t>
      </w:r>
      <w:r>
        <w:rPr>
          <w:spacing w:val="-8"/>
        </w:rPr>
        <w:t> </w:t>
      </w:r>
      <w:r>
        <w:rPr>
          <w:spacing w:val="-6"/>
        </w:rPr>
        <w:t>Kartanegara</w:t>
      </w:r>
      <w:r>
        <w:rPr>
          <w:spacing w:val="-11"/>
        </w:rPr>
        <w:t> </w:t>
      </w:r>
      <w:r>
        <w:rPr>
          <w:spacing w:val="-6"/>
        </w:rPr>
        <w:t>yang</w:t>
      </w:r>
      <w:r>
        <w:rPr>
          <w:spacing w:val="-10"/>
        </w:rPr>
        <w:t> </w:t>
      </w:r>
      <w:r>
        <w:rPr>
          <w:spacing w:val="-6"/>
        </w:rPr>
        <w:t>berasal</w:t>
      </w:r>
      <w:r>
        <w:rPr>
          <w:spacing w:val="-8"/>
        </w:rPr>
        <w:t> </w:t>
      </w:r>
      <w:r>
        <w:rPr>
          <w:spacing w:val="-6"/>
        </w:rPr>
        <w:t>dari</w:t>
      </w:r>
      <w:r>
        <w:rPr>
          <w:spacing w:val="-10"/>
        </w:rPr>
        <w:t> </w:t>
      </w:r>
      <w:r>
        <w:rPr>
          <w:spacing w:val="-6"/>
        </w:rPr>
        <w:t>Dana</w:t>
      </w:r>
      <w:r>
        <w:rPr>
          <w:spacing w:val="-11"/>
        </w:rPr>
        <w:t> </w:t>
      </w:r>
      <w:r>
        <w:rPr>
          <w:spacing w:val="-6"/>
        </w:rPr>
        <w:t>Bagi</w:t>
      </w:r>
      <w:r>
        <w:rPr>
          <w:spacing w:val="-9"/>
        </w:rPr>
        <w:t> </w:t>
      </w:r>
      <w:r>
        <w:rPr>
          <w:spacing w:val="-6"/>
        </w:rPr>
        <w:t>Hasil</w:t>
      </w:r>
      <w:r>
        <w:rPr>
          <w:spacing w:val="-8"/>
        </w:rPr>
        <w:t> </w:t>
      </w:r>
      <w:r>
        <w:rPr>
          <w:spacing w:val="-6"/>
        </w:rPr>
        <w:t>(DBH), </w:t>
      </w:r>
      <w:r>
        <w:rPr/>
        <w:t>yang diperkirakan mencapai 1,985 triliun per tahun (Bappenda Kutai </w:t>
      </w:r>
      <w:r>
        <w:rPr>
          <w:spacing w:val="-6"/>
        </w:rPr>
        <w:t>Kartanegara, 2023). Dengan berkurangnya potensi pendapatan (</w:t>
      </w:r>
      <w:r>
        <w:rPr>
          <w:i/>
          <w:spacing w:val="-6"/>
        </w:rPr>
        <w:t>potencial loss</w:t>
      </w:r>
      <w:r>
        <w:rPr>
          <w:spacing w:val="-6"/>
        </w:rPr>
        <w:t>) </w:t>
      </w:r>
      <w:r>
        <w:rPr/>
        <w:t>tersebut diindikasikan akan berdampak pada kualitas penyelenggaraan pemerintahan daerah Kabupaten Kutai Kartanegara.</w:t>
      </w:r>
    </w:p>
    <w:p>
      <w:pPr>
        <w:pStyle w:val="BodyText"/>
        <w:spacing w:line="360" w:lineRule="auto" w:before="1"/>
        <w:ind w:left="566" w:right="767" w:firstLine="710"/>
      </w:pPr>
      <w:r>
        <w:rPr/>
        <w:t>Dari perspektif pelaksanaan desentralisasi fiskal, sesuai amanat UU </w:t>
      </w:r>
      <w:r>
        <w:rPr>
          <w:spacing w:val="-4"/>
        </w:rPr>
        <w:t>Nomor 1 Tahun 2022</w:t>
      </w:r>
      <w:r>
        <w:rPr>
          <w:spacing w:val="-5"/>
        </w:rPr>
        <w:t> </w:t>
      </w:r>
      <w:r>
        <w:rPr>
          <w:spacing w:val="-4"/>
        </w:rPr>
        <w:t>tentang</w:t>
      </w:r>
      <w:r>
        <w:rPr>
          <w:spacing w:val="-10"/>
        </w:rPr>
        <w:t> </w:t>
      </w:r>
      <w:r>
        <w:rPr>
          <w:spacing w:val="-4"/>
        </w:rPr>
        <w:t>Hubungan</w:t>
      </w:r>
      <w:r>
        <w:rPr>
          <w:spacing w:val="-8"/>
        </w:rPr>
        <w:t> </w:t>
      </w:r>
      <w:r>
        <w:rPr>
          <w:spacing w:val="-4"/>
        </w:rPr>
        <w:t>Keuangan Antara</w:t>
      </w:r>
      <w:r>
        <w:rPr>
          <w:spacing w:val="-9"/>
        </w:rPr>
        <w:t> </w:t>
      </w:r>
      <w:r>
        <w:rPr>
          <w:spacing w:val="-4"/>
        </w:rPr>
        <w:t>Pemerintah</w:t>
      </w:r>
      <w:r>
        <w:rPr>
          <w:spacing w:val="-9"/>
        </w:rPr>
        <w:t> </w:t>
      </w:r>
      <w:r>
        <w:rPr>
          <w:spacing w:val="-4"/>
        </w:rPr>
        <w:t>Pusat </w:t>
      </w:r>
      <w:r>
        <w:rPr>
          <w:spacing w:val="-2"/>
        </w:rPr>
        <w:t>dan</w:t>
      </w:r>
      <w:r>
        <w:rPr>
          <w:spacing w:val="-12"/>
        </w:rPr>
        <w:t> </w:t>
      </w:r>
      <w:r>
        <w:rPr>
          <w:spacing w:val="-2"/>
        </w:rPr>
        <w:t>Pemerintahan</w:t>
      </w:r>
      <w:r>
        <w:rPr>
          <w:spacing w:val="-11"/>
        </w:rPr>
        <w:t> </w:t>
      </w:r>
      <w:r>
        <w:rPr>
          <w:spacing w:val="-2"/>
        </w:rPr>
        <w:t>Daerah</w:t>
      </w:r>
      <w:r>
        <w:rPr>
          <w:spacing w:val="-11"/>
        </w:rPr>
        <w:t> </w:t>
      </w:r>
      <w:r>
        <w:rPr>
          <w:spacing w:val="-2"/>
        </w:rPr>
        <w:t>disebutkan</w:t>
      </w:r>
      <w:r>
        <w:rPr>
          <w:spacing w:val="-11"/>
        </w:rPr>
        <w:t> </w:t>
      </w:r>
      <w:r>
        <w:rPr>
          <w:spacing w:val="-2"/>
        </w:rPr>
        <w:t>bahwa</w:t>
      </w:r>
      <w:r>
        <w:rPr>
          <w:spacing w:val="-15"/>
        </w:rPr>
        <w:t> </w:t>
      </w:r>
      <w:r>
        <w:rPr>
          <w:spacing w:val="-2"/>
        </w:rPr>
        <w:t>Pemerintah</w:t>
      </w:r>
      <w:r>
        <w:rPr>
          <w:spacing w:val="-11"/>
        </w:rPr>
        <w:t> </w:t>
      </w:r>
      <w:r>
        <w:rPr>
          <w:spacing w:val="-2"/>
        </w:rPr>
        <w:t>Pusat</w:t>
      </w:r>
      <w:r>
        <w:rPr>
          <w:spacing w:val="-14"/>
        </w:rPr>
        <w:t> </w:t>
      </w:r>
      <w:r>
        <w:rPr>
          <w:spacing w:val="-2"/>
        </w:rPr>
        <w:t>memberikan </w:t>
      </w:r>
      <w:r>
        <w:rPr/>
        <w:t>kewenangan bagi daerah untuk mengatur secara lebih mandiri bidang penerimaan daerah (pajak daerah dan retribusi daerah yang merupakan </w:t>
      </w:r>
      <w:r>
        <w:rPr>
          <w:spacing w:val="-4"/>
        </w:rPr>
        <w:t>sebagian</w:t>
      </w:r>
      <w:r>
        <w:rPr>
          <w:spacing w:val="-12"/>
        </w:rPr>
        <w:t> </w:t>
      </w:r>
      <w:r>
        <w:rPr>
          <w:spacing w:val="-4"/>
        </w:rPr>
        <w:t>sumber</w:t>
      </w:r>
      <w:r>
        <w:rPr>
          <w:spacing w:val="-11"/>
        </w:rPr>
        <w:t> </w:t>
      </w:r>
      <w:r>
        <w:rPr>
          <w:spacing w:val="-4"/>
        </w:rPr>
        <w:t>dari</w:t>
      </w:r>
      <w:r>
        <w:rPr>
          <w:spacing w:val="-9"/>
        </w:rPr>
        <w:t> </w:t>
      </w:r>
      <w:r>
        <w:rPr>
          <w:spacing w:val="-4"/>
        </w:rPr>
        <w:t>PAD),</w:t>
      </w:r>
      <w:r>
        <w:rPr>
          <w:spacing w:val="-8"/>
        </w:rPr>
        <w:t> </w:t>
      </w:r>
      <w:r>
        <w:rPr>
          <w:spacing w:val="-4"/>
        </w:rPr>
        <w:t>pengelolaan</w:t>
      </w:r>
      <w:r>
        <w:rPr>
          <w:spacing w:val="-5"/>
        </w:rPr>
        <w:t> </w:t>
      </w:r>
      <w:r>
        <w:rPr>
          <w:spacing w:val="-4"/>
        </w:rPr>
        <w:t>belanja</w:t>
      </w:r>
      <w:r>
        <w:rPr>
          <w:spacing w:val="-11"/>
        </w:rPr>
        <w:t> </w:t>
      </w:r>
      <w:r>
        <w:rPr>
          <w:spacing w:val="-4"/>
        </w:rPr>
        <w:t>daerah,</w:t>
      </w:r>
      <w:r>
        <w:rPr>
          <w:spacing w:val="-8"/>
        </w:rPr>
        <w:t> </w:t>
      </w:r>
      <w:r>
        <w:rPr>
          <w:spacing w:val="-4"/>
        </w:rPr>
        <w:t>pembiayaan</w:t>
      </w:r>
      <w:r>
        <w:rPr>
          <w:spacing w:val="-13"/>
        </w:rPr>
        <w:t> </w:t>
      </w:r>
      <w:r>
        <w:rPr>
          <w:spacing w:val="-4"/>
        </w:rPr>
        <w:t>daerah, </w:t>
      </w:r>
      <w:r>
        <w:rPr>
          <w:spacing w:val="-2"/>
        </w:rPr>
        <w:t>dan</w:t>
      </w:r>
      <w:r>
        <w:rPr>
          <w:spacing w:val="-9"/>
        </w:rPr>
        <w:t> </w:t>
      </w:r>
      <w:r>
        <w:rPr>
          <w:spacing w:val="-2"/>
        </w:rPr>
        <w:t>pelaksanaan</w:t>
      </w:r>
      <w:r>
        <w:rPr>
          <w:spacing w:val="-9"/>
        </w:rPr>
        <w:t> </w:t>
      </w:r>
      <w:r>
        <w:rPr>
          <w:spacing w:val="-2"/>
        </w:rPr>
        <w:t>sinergi</w:t>
      </w:r>
      <w:r>
        <w:rPr>
          <w:spacing w:val="-6"/>
        </w:rPr>
        <w:t> </w:t>
      </w:r>
      <w:r>
        <w:rPr>
          <w:spacing w:val="-2"/>
        </w:rPr>
        <w:t>kebijakan</w:t>
      </w:r>
      <w:r>
        <w:rPr>
          <w:spacing w:val="-13"/>
        </w:rPr>
        <w:t> </w:t>
      </w:r>
      <w:r>
        <w:rPr>
          <w:spacing w:val="-2"/>
        </w:rPr>
        <w:t>fiskal</w:t>
      </w:r>
      <w:r>
        <w:rPr>
          <w:spacing w:val="-7"/>
        </w:rPr>
        <w:t> </w:t>
      </w:r>
      <w:r>
        <w:rPr>
          <w:spacing w:val="-2"/>
        </w:rPr>
        <w:t>nasional.</w:t>
      </w:r>
      <w:r>
        <w:rPr>
          <w:spacing w:val="-6"/>
        </w:rPr>
        <w:t> </w:t>
      </w:r>
      <w:r>
        <w:rPr>
          <w:spacing w:val="-2"/>
        </w:rPr>
        <w:t>Secara</w:t>
      </w:r>
      <w:r>
        <w:rPr>
          <w:spacing w:val="-9"/>
        </w:rPr>
        <w:t> </w:t>
      </w:r>
      <w:r>
        <w:rPr>
          <w:spacing w:val="-2"/>
        </w:rPr>
        <w:t>teori,</w:t>
      </w:r>
      <w:r>
        <w:rPr>
          <w:spacing w:val="-6"/>
        </w:rPr>
        <w:t> </w:t>
      </w:r>
      <w:r>
        <w:rPr>
          <w:spacing w:val="-2"/>
        </w:rPr>
        <w:t>desentralisasi</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7"/>
      </w:pPr>
      <w:r>
        <w:rPr/>
        <w:t>fiskal</w:t>
      </w:r>
      <w:r>
        <w:rPr>
          <w:spacing w:val="-6"/>
        </w:rPr>
        <w:t> </w:t>
      </w:r>
      <w:r>
        <w:rPr/>
        <w:t>bertujuan</w:t>
      </w:r>
      <w:r>
        <w:rPr>
          <w:spacing w:val="-7"/>
        </w:rPr>
        <w:t> </w:t>
      </w:r>
      <w:r>
        <w:rPr/>
        <w:t>untuk</w:t>
      </w:r>
      <w:r>
        <w:rPr>
          <w:spacing w:val="-5"/>
        </w:rPr>
        <w:t> </w:t>
      </w:r>
      <w:r>
        <w:rPr/>
        <w:t>memenuhi</w:t>
      </w:r>
      <w:r>
        <w:rPr>
          <w:spacing w:val="-6"/>
        </w:rPr>
        <w:t> </w:t>
      </w:r>
      <w:r>
        <w:rPr/>
        <w:t>aspirasi</w:t>
      </w:r>
      <w:r>
        <w:rPr>
          <w:spacing w:val="-6"/>
        </w:rPr>
        <w:t> </w:t>
      </w:r>
      <w:r>
        <w:rPr/>
        <w:t>daerah</w:t>
      </w:r>
      <w:r>
        <w:rPr>
          <w:spacing w:val="-4"/>
        </w:rPr>
        <w:t> </w:t>
      </w:r>
      <w:r>
        <w:rPr/>
        <w:t>menyangkut</w:t>
      </w:r>
      <w:r>
        <w:rPr>
          <w:spacing w:val="-1"/>
        </w:rPr>
        <w:t> </w:t>
      </w:r>
      <w:r>
        <w:rPr/>
        <w:t>penguasaan atas sumber-sumber keuangan negara, mendorong akuntabilitas dan </w:t>
      </w:r>
      <w:r>
        <w:rPr>
          <w:spacing w:val="-4"/>
        </w:rPr>
        <w:t>transparansi pemerintah daerah, meningkatkan partisipasi masyarakat dalam </w:t>
      </w:r>
      <w:r>
        <w:rPr/>
        <w:t>proses pembangunan daerah, mengurangi ketimpangan antardaerah, </w:t>
      </w:r>
      <w:r>
        <w:rPr>
          <w:spacing w:val="-4"/>
        </w:rPr>
        <w:t>menjamin</w:t>
      </w:r>
      <w:r>
        <w:rPr>
          <w:spacing w:val="-11"/>
        </w:rPr>
        <w:t> </w:t>
      </w:r>
      <w:r>
        <w:rPr>
          <w:spacing w:val="-4"/>
        </w:rPr>
        <w:t>terselenggaranya</w:t>
      </w:r>
      <w:r>
        <w:rPr>
          <w:spacing w:val="-6"/>
        </w:rPr>
        <w:t> </w:t>
      </w:r>
      <w:r>
        <w:rPr>
          <w:spacing w:val="-4"/>
        </w:rPr>
        <w:t>pelayanan</w:t>
      </w:r>
      <w:r>
        <w:rPr>
          <w:spacing w:val="-6"/>
        </w:rPr>
        <w:t> </w:t>
      </w:r>
      <w:r>
        <w:rPr>
          <w:spacing w:val="-4"/>
        </w:rPr>
        <w:t>publik</w:t>
      </w:r>
      <w:r>
        <w:rPr>
          <w:spacing w:val="-8"/>
        </w:rPr>
        <w:t> </w:t>
      </w:r>
      <w:r>
        <w:rPr>
          <w:spacing w:val="-4"/>
        </w:rPr>
        <w:t>minimum</w:t>
      </w:r>
      <w:r>
        <w:rPr>
          <w:spacing w:val="-5"/>
        </w:rPr>
        <w:t> </w:t>
      </w:r>
      <w:r>
        <w:rPr>
          <w:spacing w:val="-4"/>
        </w:rPr>
        <w:t>di setiap</w:t>
      </w:r>
      <w:r>
        <w:rPr>
          <w:spacing w:val="-7"/>
        </w:rPr>
        <w:t> </w:t>
      </w:r>
      <w:r>
        <w:rPr>
          <w:spacing w:val="-4"/>
        </w:rPr>
        <w:t>daerah, dan </w:t>
      </w:r>
      <w:r>
        <w:rPr/>
        <w:t>pada akhirnya diharapkan dapat meningkatkan kesejahteraan masyarakat secara</w:t>
      </w:r>
      <w:r>
        <w:rPr>
          <w:spacing w:val="-17"/>
        </w:rPr>
        <w:t> </w:t>
      </w:r>
      <w:r>
        <w:rPr/>
        <w:t>umum</w:t>
      </w:r>
      <w:r>
        <w:rPr>
          <w:spacing w:val="-16"/>
        </w:rPr>
        <w:t> </w:t>
      </w:r>
      <w:r>
        <w:rPr/>
        <w:t>(Nurhemi</w:t>
      </w:r>
      <w:r>
        <w:rPr>
          <w:spacing w:val="-17"/>
        </w:rPr>
        <w:t> </w:t>
      </w:r>
      <w:r>
        <w:rPr/>
        <w:t>&amp;</w:t>
      </w:r>
      <w:r>
        <w:rPr>
          <w:spacing w:val="-16"/>
        </w:rPr>
        <w:t> </w:t>
      </w:r>
      <w:r>
        <w:rPr/>
        <w:t>Suryani</w:t>
      </w:r>
      <w:r>
        <w:rPr>
          <w:spacing w:val="-17"/>
        </w:rPr>
        <w:t> </w:t>
      </w:r>
      <w:r>
        <w:rPr/>
        <w:t>2015).</w:t>
      </w:r>
      <w:r>
        <w:rPr>
          <w:spacing w:val="-16"/>
        </w:rPr>
        <w:t> </w:t>
      </w:r>
      <w:r>
        <w:rPr/>
        <w:t>Pernyataan</w:t>
      </w:r>
      <w:r>
        <w:rPr>
          <w:spacing w:val="-17"/>
        </w:rPr>
        <w:t> </w:t>
      </w:r>
      <w:r>
        <w:rPr/>
        <w:t>tersebut</w:t>
      </w:r>
      <w:r>
        <w:rPr>
          <w:spacing w:val="-16"/>
        </w:rPr>
        <w:t> </w:t>
      </w:r>
      <w:r>
        <w:rPr/>
        <w:t>merujuk</w:t>
      </w:r>
      <w:r>
        <w:rPr>
          <w:spacing w:val="-16"/>
        </w:rPr>
        <w:t> </w:t>
      </w:r>
      <w:r>
        <w:rPr/>
        <w:t>pada </w:t>
      </w:r>
      <w:r>
        <w:rPr>
          <w:spacing w:val="-6"/>
        </w:rPr>
        <w:t>tiga</w:t>
      </w:r>
      <w:r>
        <w:rPr>
          <w:spacing w:val="-11"/>
        </w:rPr>
        <w:t> </w:t>
      </w:r>
      <w:r>
        <w:rPr>
          <w:spacing w:val="-6"/>
        </w:rPr>
        <w:t>fungsi</w:t>
      </w:r>
      <w:r>
        <w:rPr>
          <w:spacing w:val="-10"/>
        </w:rPr>
        <w:t> </w:t>
      </w:r>
      <w:r>
        <w:rPr>
          <w:spacing w:val="-6"/>
        </w:rPr>
        <w:t>pemerintah,</w:t>
      </w:r>
      <w:r>
        <w:rPr>
          <w:spacing w:val="-11"/>
        </w:rPr>
        <w:t> </w:t>
      </w:r>
      <w:r>
        <w:rPr>
          <w:spacing w:val="-6"/>
        </w:rPr>
        <w:t>yaitu</w:t>
      </w:r>
      <w:r>
        <w:rPr>
          <w:spacing w:val="-10"/>
        </w:rPr>
        <w:t> </w:t>
      </w:r>
      <w:r>
        <w:rPr>
          <w:spacing w:val="-6"/>
        </w:rPr>
        <w:t>fungsi</w:t>
      </w:r>
      <w:r>
        <w:rPr>
          <w:spacing w:val="-11"/>
        </w:rPr>
        <w:t> </w:t>
      </w:r>
      <w:r>
        <w:rPr>
          <w:spacing w:val="-6"/>
        </w:rPr>
        <w:t>alokasi,</w:t>
      </w:r>
      <w:r>
        <w:rPr>
          <w:spacing w:val="-9"/>
        </w:rPr>
        <w:t> </w:t>
      </w:r>
      <w:r>
        <w:rPr>
          <w:spacing w:val="-6"/>
        </w:rPr>
        <w:t>distribusi,</w:t>
      </w:r>
      <w:r>
        <w:rPr>
          <w:spacing w:val="-7"/>
        </w:rPr>
        <w:t> </w:t>
      </w:r>
      <w:r>
        <w:rPr>
          <w:spacing w:val="-6"/>
        </w:rPr>
        <w:t>dan</w:t>
      </w:r>
      <w:r>
        <w:rPr>
          <w:spacing w:val="-11"/>
        </w:rPr>
        <w:t> </w:t>
      </w:r>
      <w:r>
        <w:rPr>
          <w:spacing w:val="-6"/>
        </w:rPr>
        <w:t>stabilisasi</w:t>
      </w:r>
      <w:r>
        <w:rPr>
          <w:spacing w:val="-8"/>
        </w:rPr>
        <w:t> </w:t>
      </w:r>
      <w:r>
        <w:rPr>
          <w:spacing w:val="-6"/>
        </w:rPr>
        <w:t>(Musgrave </w:t>
      </w:r>
      <w:r>
        <w:rPr/>
        <w:t>&amp; Musgrave 1984).</w:t>
      </w:r>
    </w:p>
    <w:p>
      <w:pPr>
        <w:pStyle w:val="BodyText"/>
        <w:spacing w:line="360" w:lineRule="auto" w:before="2"/>
        <w:ind w:left="566" w:right="770" w:firstLine="710"/>
      </w:pPr>
      <w:r>
        <w:rPr/>
        <w:t>Berdasarkan uraian tersebut di atas, maka perlu dilakukan kajian “Dampak</w:t>
      </w:r>
      <w:r>
        <w:rPr>
          <w:spacing w:val="-17"/>
        </w:rPr>
        <w:t> </w:t>
      </w:r>
      <w:r>
        <w:rPr/>
        <w:t>Keberadaan</w:t>
      </w:r>
      <w:r>
        <w:rPr>
          <w:spacing w:val="-15"/>
        </w:rPr>
        <w:t> </w:t>
      </w:r>
      <w:r>
        <w:rPr/>
        <w:t>Ibu</w:t>
      </w:r>
      <w:r>
        <w:rPr>
          <w:spacing w:val="-15"/>
        </w:rPr>
        <w:t> </w:t>
      </w:r>
      <w:r>
        <w:rPr/>
        <w:t>Kota</w:t>
      </w:r>
      <w:r>
        <w:rPr>
          <w:spacing w:val="-16"/>
        </w:rPr>
        <w:t> </w:t>
      </w:r>
      <w:r>
        <w:rPr/>
        <w:t>Nusantara</w:t>
      </w:r>
      <w:r>
        <w:rPr>
          <w:spacing w:val="-16"/>
        </w:rPr>
        <w:t> </w:t>
      </w:r>
      <w:r>
        <w:rPr/>
        <w:t>Terhadap</w:t>
      </w:r>
      <w:r>
        <w:rPr>
          <w:spacing w:val="-15"/>
        </w:rPr>
        <w:t> </w:t>
      </w:r>
      <w:r>
        <w:rPr/>
        <w:t>Potensi</w:t>
      </w:r>
      <w:r>
        <w:rPr>
          <w:spacing w:val="-14"/>
        </w:rPr>
        <w:t> </w:t>
      </w:r>
      <w:r>
        <w:rPr/>
        <w:t>Pendapata</w:t>
      </w:r>
      <w:r>
        <w:rPr>
          <w:spacing w:val="-15"/>
        </w:rPr>
        <w:t> </w:t>
      </w:r>
      <w:r>
        <w:rPr/>
        <w:t>dan Pengeluaran Daerah Kabupaten Kutai Kartanegara”, untuk menjamin </w:t>
      </w:r>
      <w:r>
        <w:rPr>
          <w:spacing w:val="-2"/>
        </w:rPr>
        <w:t>penyelenggaraan</w:t>
      </w:r>
      <w:r>
        <w:rPr>
          <w:spacing w:val="-15"/>
        </w:rPr>
        <w:t> </w:t>
      </w:r>
      <w:r>
        <w:rPr>
          <w:spacing w:val="-2"/>
        </w:rPr>
        <w:t>pemerintahan</w:t>
      </w:r>
      <w:r>
        <w:rPr>
          <w:spacing w:val="-14"/>
        </w:rPr>
        <w:t> </w:t>
      </w:r>
      <w:r>
        <w:rPr>
          <w:spacing w:val="-2"/>
        </w:rPr>
        <w:t>Kabupaten</w:t>
      </w:r>
      <w:r>
        <w:rPr>
          <w:spacing w:val="-15"/>
        </w:rPr>
        <w:t> </w:t>
      </w:r>
      <w:r>
        <w:rPr>
          <w:spacing w:val="-2"/>
        </w:rPr>
        <w:t>Kutai</w:t>
      </w:r>
      <w:r>
        <w:rPr>
          <w:spacing w:val="-14"/>
        </w:rPr>
        <w:t> </w:t>
      </w:r>
      <w:r>
        <w:rPr>
          <w:spacing w:val="-2"/>
        </w:rPr>
        <w:t>Kartanegara</w:t>
      </w:r>
      <w:r>
        <w:rPr>
          <w:spacing w:val="-13"/>
        </w:rPr>
        <w:t> </w:t>
      </w:r>
      <w:r>
        <w:rPr>
          <w:spacing w:val="-2"/>
        </w:rPr>
        <w:t>tetap</w:t>
      </w:r>
      <w:r>
        <w:rPr>
          <w:spacing w:val="-14"/>
        </w:rPr>
        <w:t> </w:t>
      </w:r>
      <w:r>
        <w:rPr>
          <w:spacing w:val="-2"/>
        </w:rPr>
        <w:t>berjalan </w:t>
      </w:r>
      <w:r>
        <w:rPr/>
        <w:t>efektif pasca beralihnya 6 (enam) kecamatan di wilayah Kabupaten Kutai Kartanegara ke wilayah IKN.</w:t>
      </w:r>
    </w:p>
    <w:p>
      <w:pPr>
        <w:pStyle w:val="Heading2"/>
        <w:numPr>
          <w:ilvl w:val="1"/>
          <w:numId w:val="7"/>
        </w:numPr>
        <w:tabs>
          <w:tab w:pos="1039" w:val="left" w:leader="none"/>
        </w:tabs>
        <w:spacing w:line="240" w:lineRule="auto" w:before="238" w:after="0"/>
        <w:ind w:left="1039" w:right="0" w:hanging="406"/>
        <w:jc w:val="both"/>
      </w:pPr>
      <w:bookmarkStart w:name="_bookmark6" w:id="7"/>
      <w:bookmarkEnd w:id="7"/>
      <w:r>
        <w:rPr>
          <w:b w:val="0"/>
        </w:rPr>
      </w:r>
      <w:r>
        <w:rPr/>
        <w:t>Pokok</w:t>
      </w:r>
      <w:r>
        <w:rPr>
          <w:spacing w:val="-10"/>
        </w:rPr>
        <w:t> </w:t>
      </w:r>
      <w:r>
        <w:rPr>
          <w:spacing w:val="-2"/>
        </w:rPr>
        <w:t>Permasalahan</w:t>
      </w:r>
    </w:p>
    <w:p>
      <w:pPr>
        <w:pStyle w:val="BodyText"/>
        <w:spacing w:line="360" w:lineRule="auto" w:before="224"/>
        <w:ind w:left="566" w:right="766" w:firstLine="710"/>
      </w:pPr>
      <w:r>
        <w:rPr>
          <w:spacing w:val="-2"/>
        </w:rPr>
        <w:t>Berdasarkan</w:t>
      </w:r>
      <w:r>
        <w:rPr>
          <w:spacing w:val="-15"/>
        </w:rPr>
        <w:t> </w:t>
      </w:r>
      <w:r>
        <w:rPr>
          <w:spacing w:val="-2"/>
        </w:rPr>
        <w:t>latar</w:t>
      </w:r>
      <w:r>
        <w:rPr>
          <w:spacing w:val="-14"/>
        </w:rPr>
        <w:t> </w:t>
      </w:r>
      <w:r>
        <w:rPr>
          <w:spacing w:val="-2"/>
        </w:rPr>
        <w:t>belakang</w:t>
      </w:r>
      <w:r>
        <w:rPr>
          <w:spacing w:val="-15"/>
        </w:rPr>
        <w:t> </w:t>
      </w:r>
      <w:r>
        <w:rPr>
          <w:spacing w:val="-2"/>
        </w:rPr>
        <w:t>sebagaimana</w:t>
      </w:r>
      <w:r>
        <w:rPr>
          <w:spacing w:val="-14"/>
        </w:rPr>
        <w:t> </w:t>
      </w:r>
      <w:r>
        <w:rPr>
          <w:spacing w:val="-2"/>
        </w:rPr>
        <w:t>diuraikan</w:t>
      </w:r>
      <w:r>
        <w:rPr>
          <w:spacing w:val="-15"/>
        </w:rPr>
        <w:t> </w:t>
      </w:r>
      <w:r>
        <w:rPr>
          <w:spacing w:val="-2"/>
        </w:rPr>
        <w:t>di</w:t>
      </w:r>
      <w:r>
        <w:rPr>
          <w:spacing w:val="-14"/>
        </w:rPr>
        <w:t> </w:t>
      </w:r>
      <w:r>
        <w:rPr>
          <w:spacing w:val="-2"/>
        </w:rPr>
        <w:t>atas,</w:t>
      </w:r>
      <w:r>
        <w:rPr>
          <w:spacing w:val="-15"/>
        </w:rPr>
        <w:t> </w:t>
      </w:r>
      <w:r>
        <w:rPr>
          <w:spacing w:val="-2"/>
        </w:rPr>
        <w:t>maka</w:t>
      </w:r>
      <w:r>
        <w:rPr>
          <w:spacing w:val="-14"/>
        </w:rPr>
        <w:t> </w:t>
      </w:r>
      <w:r>
        <w:rPr>
          <w:spacing w:val="-2"/>
        </w:rPr>
        <w:t>yang </w:t>
      </w:r>
      <w:r>
        <w:rPr>
          <w:spacing w:val="-6"/>
        </w:rPr>
        <w:t>menjadi</w:t>
      </w:r>
      <w:r>
        <w:rPr>
          <w:spacing w:val="-11"/>
        </w:rPr>
        <w:t> </w:t>
      </w:r>
      <w:r>
        <w:rPr>
          <w:spacing w:val="-6"/>
        </w:rPr>
        <w:t>pokok</w:t>
      </w:r>
      <w:r>
        <w:rPr>
          <w:spacing w:val="-10"/>
        </w:rPr>
        <w:t> </w:t>
      </w:r>
      <w:r>
        <w:rPr>
          <w:spacing w:val="-6"/>
        </w:rPr>
        <w:t>permasalahan</w:t>
      </w:r>
      <w:r>
        <w:rPr>
          <w:spacing w:val="-11"/>
        </w:rPr>
        <w:t> </w:t>
      </w:r>
      <w:r>
        <w:rPr>
          <w:spacing w:val="-6"/>
        </w:rPr>
        <w:t>adalah</w:t>
      </w:r>
      <w:r>
        <w:rPr>
          <w:spacing w:val="-10"/>
        </w:rPr>
        <w:t> </w:t>
      </w:r>
      <w:r>
        <w:rPr>
          <w:spacing w:val="-6"/>
        </w:rPr>
        <w:t>bagaimana</w:t>
      </w:r>
      <w:r>
        <w:rPr>
          <w:spacing w:val="-9"/>
        </w:rPr>
        <w:t> </w:t>
      </w:r>
      <w:r>
        <w:rPr>
          <w:spacing w:val="-6"/>
        </w:rPr>
        <w:t>dampak</w:t>
      </w:r>
      <w:r>
        <w:rPr>
          <w:spacing w:val="-10"/>
        </w:rPr>
        <w:t> </w:t>
      </w:r>
      <w:r>
        <w:rPr>
          <w:spacing w:val="-6"/>
        </w:rPr>
        <w:t>keberadaan</w:t>
      </w:r>
      <w:r>
        <w:rPr>
          <w:spacing w:val="-11"/>
        </w:rPr>
        <w:t> </w:t>
      </w:r>
      <w:r>
        <w:rPr>
          <w:spacing w:val="-6"/>
        </w:rPr>
        <w:t>Ibu</w:t>
      </w:r>
      <w:r>
        <w:rPr>
          <w:spacing w:val="-10"/>
        </w:rPr>
        <w:t> </w:t>
      </w:r>
      <w:r>
        <w:rPr>
          <w:spacing w:val="-6"/>
        </w:rPr>
        <w:t>Kota </w:t>
      </w:r>
      <w:r>
        <w:rPr>
          <w:spacing w:val="-4"/>
        </w:rPr>
        <w:t>Nusantara</w:t>
      </w:r>
      <w:r>
        <w:rPr>
          <w:spacing w:val="-10"/>
        </w:rPr>
        <w:t> </w:t>
      </w:r>
      <w:r>
        <w:rPr>
          <w:spacing w:val="-4"/>
        </w:rPr>
        <w:t>terhadap</w:t>
      </w:r>
      <w:r>
        <w:rPr>
          <w:spacing w:val="-6"/>
        </w:rPr>
        <w:t> </w:t>
      </w:r>
      <w:r>
        <w:rPr>
          <w:spacing w:val="-4"/>
        </w:rPr>
        <w:t>potensi</w:t>
      </w:r>
      <w:r>
        <w:rPr>
          <w:spacing w:val="-9"/>
        </w:rPr>
        <w:t> </w:t>
      </w:r>
      <w:r>
        <w:rPr>
          <w:spacing w:val="-4"/>
        </w:rPr>
        <w:t>pendapatan</w:t>
      </w:r>
      <w:r>
        <w:rPr>
          <w:spacing w:val="-5"/>
        </w:rPr>
        <w:t> </w:t>
      </w:r>
      <w:r>
        <w:rPr>
          <w:spacing w:val="-4"/>
        </w:rPr>
        <w:t>dan</w:t>
      </w:r>
      <w:r>
        <w:rPr>
          <w:spacing w:val="-10"/>
        </w:rPr>
        <w:t> </w:t>
      </w:r>
      <w:r>
        <w:rPr>
          <w:spacing w:val="-4"/>
        </w:rPr>
        <w:t>pengeluaran</w:t>
      </w:r>
      <w:r>
        <w:rPr>
          <w:spacing w:val="-5"/>
        </w:rPr>
        <w:t> </w:t>
      </w:r>
      <w:r>
        <w:rPr>
          <w:spacing w:val="-4"/>
        </w:rPr>
        <w:t>daerah</w:t>
      </w:r>
      <w:r>
        <w:rPr>
          <w:spacing w:val="-10"/>
        </w:rPr>
        <w:t> </w:t>
      </w:r>
      <w:r>
        <w:rPr>
          <w:spacing w:val="-4"/>
        </w:rPr>
        <w:t>Kabupaten </w:t>
      </w:r>
      <w:r>
        <w:rPr>
          <w:spacing w:val="-6"/>
        </w:rPr>
        <w:t>Kutai Kartanegara. Selanjutnya untuk menjawab pokok permasalahan tersebut </w:t>
      </w:r>
      <w:r>
        <w:rPr/>
        <w:t>terdapat beberapa pertanyaan penelitian:</w:t>
      </w:r>
    </w:p>
    <w:p>
      <w:pPr>
        <w:pStyle w:val="ListParagraph"/>
        <w:numPr>
          <w:ilvl w:val="2"/>
          <w:numId w:val="7"/>
        </w:numPr>
        <w:tabs>
          <w:tab w:pos="1419" w:val="left" w:leader="none"/>
          <w:tab w:pos="1421" w:val="left" w:leader="none"/>
        </w:tabs>
        <w:spacing w:line="360" w:lineRule="auto" w:before="2" w:after="0"/>
        <w:ind w:left="1421" w:right="777" w:hanging="361"/>
        <w:jc w:val="both"/>
        <w:rPr>
          <w:sz w:val="24"/>
        </w:rPr>
      </w:pPr>
      <w:r>
        <w:rPr>
          <w:sz w:val="24"/>
        </w:rPr>
        <w:t>Berapa</w:t>
      </w:r>
      <w:r>
        <w:rPr>
          <w:spacing w:val="-4"/>
          <w:sz w:val="24"/>
        </w:rPr>
        <w:t> </w:t>
      </w:r>
      <w:r>
        <w:rPr>
          <w:sz w:val="24"/>
        </w:rPr>
        <w:t>besar</w:t>
      </w:r>
      <w:r>
        <w:rPr>
          <w:spacing w:val="-7"/>
          <w:sz w:val="24"/>
        </w:rPr>
        <w:t> </w:t>
      </w:r>
      <w:r>
        <w:rPr>
          <w:sz w:val="24"/>
        </w:rPr>
        <w:t>potensi</w:t>
      </w:r>
      <w:r>
        <w:rPr>
          <w:spacing w:val="-7"/>
          <w:sz w:val="24"/>
        </w:rPr>
        <w:t> </w:t>
      </w:r>
      <w:r>
        <w:rPr>
          <w:spacing w:val="11"/>
          <w:sz w:val="24"/>
        </w:rPr>
        <w:t>pendapatan</w:t>
      </w:r>
      <w:r>
        <w:rPr>
          <w:spacing w:val="40"/>
          <w:sz w:val="24"/>
        </w:rPr>
        <w:t> </w:t>
      </w:r>
      <w:r>
        <w:rPr>
          <w:sz w:val="24"/>
        </w:rPr>
        <w:t>dan </w:t>
      </w:r>
      <w:r>
        <w:rPr>
          <w:spacing w:val="10"/>
          <w:sz w:val="24"/>
        </w:rPr>
        <w:t>pengeluaran </w:t>
      </w:r>
      <w:r>
        <w:rPr>
          <w:sz w:val="24"/>
        </w:rPr>
        <w:t>Kabupaten Kutai Kartanegara akibat </w:t>
      </w:r>
      <w:r>
        <w:rPr>
          <w:spacing w:val="9"/>
          <w:sz w:val="24"/>
        </w:rPr>
        <w:t>diambilnya</w:t>
      </w:r>
      <w:r>
        <w:rPr>
          <w:spacing w:val="9"/>
          <w:sz w:val="24"/>
        </w:rPr>
        <w:t> </w:t>
      </w:r>
      <w:r>
        <w:rPr>
          <w:sz w:val="24"/>
        </w:rPr>
        <w:t>6 (enam) </w:t>
      </w:r>
      <w:r>
        <w:rPr>
          <w:spacing w:val="9"/>
          <w:sz w:val="24"/>
        </w:rPr>
        <w:t>wilayah </w:t>
      </w:r>
      <w:r>
        <w:rPr>
          <w:sz w:val="24"/>
        </w:rPr>
        <w:t>kecamatan, yakni </w:t>
      </w:r>
      <w:r>
        <w:rPr>
          <w:spacing w:val="9"/>
          <w:sz w:val="24"/>
        </w:rPr>
        <w:t>Kecamatan</w:t>
      </w:r>
      <w:r>
        <w:rPr>
          <w:spacing w:val="9"/>
          <w:sz w:val="24"/>
        </w:rPr>
        <w:t> </w:t>
      </w:r>
      <w:r>
        <w:rPr>
          <w:sz w:val="24"/>
        </w:rPr>
        <w:t>Samboja, Kecamatan Samboja</w:t>
      </w:r>
      <w:r>
        <w:rPr>
          <w:spacing w:val="40"/>
          <w:sz w:val="24"/>
        </w:rPr>
        <w:t> </w:t>
      </w:r>
      <w:r>
        <w:rPr>
          <w:sz w:val="24"/>
        </w:rPr>
        <w:t>Barat, sebagian Kecamatan Muara Jawa, sebagianKecamatan Loa Kulu, sebagian Kecamatan Loa Janan, dan sebagian wilayah Kecamatan Sanga-Sanga sebagai wilayah IKN?</w:t>
      </w:r>
    </w:p>
    <w:p>
      <w:pPr>
        <w:pStyle w:val="ListParagraph"/>
        <w:spacing w:after="0" w:line="360" w:lineRule="auto"/>
        <w:jc w:val="both"/>
        <w:rPr>
          <w:sz w:val="24"/>
        </w:rPr>
        <w:sectPr>
          <w:pgSz w:w="11910" w:h="16840"/>
          <w:pgMar w:header="0" w:footer="1186" w:top="1580" w:bottom="1380" w:left="1700" w:right="992"/>
        </w:sectPr>
      </w:pPr>
    </w:p>
    <w:p>
      <w:pPr>
        <w:pStyle w:val="ListParagraph"/>
        <w:numPr>
          <w:ilvl w:val="2"/>
          <w:numId w:val="7"/>
        </w:numPr>
        <w:tabs>
          <w:tab w:pos="1419" w:val="left" w:leader="none"/>
          <w:tab w:pos="1421" w:val="left" w:leader="none"/>
        </w:tabs>
        <w:spacing w:line="360" w:lineRule="auto" w:before="82" w:after="0"/>
        <w:ind w:left="1421" w:right="783" w:hanging="361"/>
        <w:jc w:val="both"/>
        <w:rPr>
          <w:sz w:val="24"/>
        </w:rPr>
      </w:pPr>
      <w:r>
        <w:rPr>
          <w:sz w:val="24"/>
        </w:rPr>
        <w:t>Bagaimana dampak pendapatan dan pengeluaran yang berubah akibat IKN terhadap aspek politik, ekonomi, sosial, teknologi, lingkungan, dan hukum di Kabupaten Kutai Kartanegara?</w:t>
      </w:r>
    </w:p>
    <w:p>
      <w:pPr>
        <w:pStyle w:val="ListParagraph"/>
        <w:numPr>
          <w:ilvl w:val="2"/>
          <w:numId w:val="7"/>
        </w:numPr>
        <w:tabs>
          <w:tab w:pos="1419" w:val="left" w:leader="none"/>
          <w:tab w:pos="1421" w:val="left" w:leader="none"/>
        </w:tabs>
        <w:spacing w:line="360" w:lineRule="auto" w:before="4" w:after="0"/>
        <w:ind w:left="1421" w:right="777" w:hanging="361"/>
        <w:jc w:val="both"/>
        <w:rPr>
          <w:sz w:val="24"/>
        </w:rPr>
      </w:pPr>
      <w:r>
        <w:rPr>
          <w:sz w:val="24"/>
        </w:rPr>
        <w:t>Bagaimana kebijakan dan strategi mendapatkan konsesi atas potensi berkurangnya pendapatan Kabupaten Kutai Kartanegara akibat IKN?</w:t>
      </w:r>
    </w:p>
    <w:p>
      <w:pPr>
        <w:pStyle w:val="BodyText"/>
        <w:spacing w:before="237"/>
        <w:jc w:val="left"/>
      </w:pPr>
    </w:p>
    <w:p>
      <w:pPr>
        <w:pStyle w:val="Heading2"/>
        <w:numPr>
          <w:ilvl w:val="1"/>
          <w:numId w:val="7"/>
        </w:numPr>
        <w:tabs>
          <w:tab w:pos="1039" w:val="left" w:leader="none"/>
        </w:tabs>
        <w:spacing w:line="240" w:lineRule="auto" w:before="0" w:after="0"/>
        <w:ind w:left="1039" w:right="0" w:hanging="406"/>
        <w:jc w:val="left"/>
      </w:pPr>
      <w:bookmarkStart w:name="_bookmark7" w:id="8"/>
      <w:bookmarkEnd w:id="8"/>
      <w:r>
        <w:rPr>
          <w:b w:val="0"/>
        </w:rPr>
      </w:r>
      <w:r>
        <w:rPr/>
        <w:t>Tujuan</w:t>
      </w:r>
      <w:r>
        <w:rPr>
          <w:spacing w:val="-9"/>
        </w:rPr>
        <w:t> </w:t>
      </w:r>
      <w:r>
        <w:rPr/>
        <w:t>dan</w:t>
      </w:r>
      <w:r>
        <w:rPr>
          <w:spacing w:val="-4"/>
        </w:rPr>
        <w:t> </w:t>
      </w:r>
      <w:r>
        <w:rPr>
          <w:spacing w:val="-2"/>
        </w:rPr>
        <w:t>Sasaran</w:t>
      </w:r>
    </w:p>
    <w:p>
      <w:pPr>
        <w:pStyle w:val="ListParagraph"/>
        <w:numPr>
          <w:ilvl w:val="2"/>
          <w:numId w:val="7"/>
        </w:numPr>
        <w:tabs>
          <w:tab w:pos="1420" w:val="left" w:leader="none"/>
        </w:tabs>
        <w:spacing w:line="240" w:lineRule="auto" w:before="218" w:after="0"/>
        <w:ind w:left="1420" w:right="0" w:hanging="359"/>
        <w:jc w:val="both"/>
        <w:rPr>
          <w:sz w:val="24"/>
        </w:rPr>
      </w:pPr>
      <w:r>
        <w:rPr>
          <w:spacing w:val="-2"/>
          <w:sz w:val="24"/>
        </w:rPr>
        <w:t>Tujuan</w:t>
      </w:r>
    </w:p>
    <w:p>
      <w:pPr>
        <w:pStyle w:val="ListParagraph"/>
        <w:numPr>
          <w:ilvl w:val="0"/>
          <w:numId w:val="9"/>
        </w:numPr>
        <w:tabs>
          <w:tab w:pos="1966" w:val="left" w:leader="none"/>
        </w:tabs>
        <w:spacing w:line="240" w:lineRule="auto" w:before="161" w:after="0"/>
        <w:ind w:left="1966" w:right="0" w:hanging="339"/>
        <w:jc w:val="both"/>
        <w:rPr>
          <w:sz w:val="24"/>
        </w:rPr>
      </w:pPr>
      <w:r>
        <w:rPr>
          <w:sz w:val="24"/>
        </w:rPr>
        <w:t>Untuk</w:t>
      </w:r>
      <w:r>
        <w:rPr>
          <w:spacing w:val="-10"/>
          <w:sz w:val="24"/>
        </w:rPr>
        <w:t> </w:t>
      </w:r>
      <w:r>
        <w:rPr>
          <w:sz w:val="24"/>
        </w:rPr>
        <w:t>mengidentifikasi</w:t>
      </w:r>
      <w:r>
        <w:rPr>
          <w:spacing w:val="-8"/>
          <w:sz w:val="24"/>
        </w:rPr>
        <w:t> </w:t>
      </w:r>
      <w:r>
        <w:rPr>
          <w:sz w:val="24"/>
        </w:rPr>
        <w:t>potensi</w:t>
      </w:r>
      <w:r>
        <w:rPr>
          <w:spacing w:val="-8"/>
          <w:sz w:val="24"/>
        </w:rPr>
        <w:t> </w:t>
      </w:r>
      <w:r>
        <w:rPr>
          <w:sz w:val="24"/>
        </w:rPr>
        <w:t>pendapatan</w:t>
      </w:r>
      <w:r>
        <w:rPr>
          <w:spacing w:val="49"/>
          <w:sz w:val="24"/>
        </w:rPr>
        <w:t> </w:t>
      </w:r>
      <w:r>
        <w:rPr>
          <w:spacing w:val="-2"/>
          <w:sz w:val="24"/>
        </w:rPr>
        <w:t>danpengeluaran</w:t>
      </w:r>
    </w:p>
    <w:p>
      <w:pPr>
        <w:pStyle w:val="BodyText"/>
        <w:spacing w:line="360" w:lineRule="auto" w:before="161"/>
        <w:ind w:left="1987" w:right="767" w:firstLine="2021"/>
      </w:pPr>
      <w:r>
        <w:rPr/>
        <w:t>Kabupaten Kutai Kartanegara akibat diambilnya 6 (enam) wilayah kecamatan, yakni Kecamatan Samboja, Kecamatan Samboja Barat, sebagian Kecamatan Muara Jawa, sebagian Kecamatan Loa Kulu, sebagian Kecamatan Loa Janan, dan sebagian wilayah Kecamatan Sanga-Sanga sebagai wilayah IKN.</w:t>
      </w:r>
    </w:p>
    <w:p>
      <w:pPr>
        <w:pStyle w:val="ListParagraph"/>
        <w:numPr>
          <w:ilvl w:val="0"/>
          <w:numId w:val="9"/>
        </w:numPr>
        <w:tabs>
          <w:tab w:pos="1967" w:val="left" w:leader="none"/>
          <w:tab w:pos="1987" w:val="left" w:leader="none"/>
          <w:tab w:pos="5430" w:val="left" w:leader="none"/>
        </w:tabs>
        <w:spacing w:line="360" w:lineRule="auto" w:before="3" w:after="0"/>
        <w:ind w:left="1987" w:right="774" w:hanging="360"/>
        <w:jc w:val="both"/>
        <w:rPr>
          <w:sz w:val="24"/>
        </w:rPr>
      </w:pPr>
      <w:r>
        <w:rPr>
          <w:sz w:val="24"/>
        </w:rPr>
        <w:t>Untuk</w:t>
      </w:r>
      <w:r>
        <w:rPr>
          <w:spacing w:val="80"/>
          <w:sz w:val="24"/>
        </w:rPr>
        <w:t>  </w:t>
      </w:r>
      <w:r>
        <w:rPr>
          <w:sz w:val="24"/>
        </w:rPr>
        <w:t>mengidentifikasi</w:t>
        <w:tab/>
        <w:t>dampak pendapatan dan pengeluaran</w:t>
      </w:r>
      <w:r>
        <w:rPr>
          <w:spacing w:val="-12"/>
          <w:sz w:val="24"/>
        </w:rPr>
        <w:t> </w:t>
      </w:r>
      <w:r>
        <w:rPr>
          <w:sz w:val="24"/>
        </w:rPr>
        <w:t>yang</w:t>
      </w:r>
      <w:r>
        <w:rPr>
          <w:spacing w:val="-10"/>
          <w:sz w:val="24"/>
        </w:rPr>
        <w:t> </w:t>
      </w:r>
      <w:r>
        <w:rPr>
          <w:sz w:val="24"/>
        </w:rPr>
        <w:t>berubah</w:t>
      </w:r>
      <w:r>
        <w:rPr>
          <w:spacing w:val="-9"/>
          <w:sz w:val="24"/>
        </w:rPr>
        <w:t> </w:t>
      </w:r>
      <w:r>
        <w:rPr>
          <w:sz w:val="24"/>
        </w:rPr>
        <w:t>akibat</w:t>
      </w:r>
      <w:r>
        <w:rPr>
          <w:spacing w:val="-7"/>
          <w:sz w:val="24"/>
        </w:rPr>
        <w:t> </w:t>
      </w:r>
      <w:r>
        <w:rPr>
          <w:sz w:val="24"/>
        </w:rPr>
        <w:t>IKN</w:t>
      </w:r>
      <w:r>
        <w:rPr>
          <w:spacing w:val="-14"/>
          <w:sz w:val="24"/>
        </w:rPr>
        <w:t> </w:t>
      </w:r>
      <w:r>
        <w:rPr>
          <w:sz w:val="24"/>
        </w:rPr>
        <w:t>terhadap</w:t>
      </w:r>
      <w:r>
        <w:rPr>
          <w:spacing w:val="-9"/>
          <w:sz w:val="24"/>
        </w:rPr>
        <w:t> </w:t>
      </w:r>
      <w:r>
        <w:rPr>
          <w:sz w:val="24"/>
        </w:rPr>
        <w:t>aspek</w:t>
      </w:r>
      <w:r>
        <w:rPr>
          <w:spacing w:val="-11"/>
          <w:sz w:val="24"/>
        </w:rPr>
        <w:t> </w:t>
      </w:r>
      <w:r>
        <w:rPr>
          <w:sz w:val="24"/>
        </w:rPr>
        <w:t>politik, ekonomi, sosial, teknologi, lingkungan, dan hukum di Kabupaten Kutai Kartanegara.</w:t>
      </w:r>
    </w:p>
    <w:p>
      <w:pPr>
        <w:pStyle w:val="ListParagraph"/>
        <w:numPr>
          <w:ilvl w:val="0"/>
          <w:numId w:val="9"/>
        </w:numPr>
        <w:tabs>
          <w:tab w:pos="1987" w:val="left" w:leader="none"/>
        </w:tabs>
        <w:spacing w:line="360" w:lineRule="auto" w:before="1" w:after="0"/>
        <w:ind w:left="1987" w:right="777" w:hanging="360"/>
        <w:jc w:val="both"/>
        <w:rPr>
          <w:sz w:val="24"/>
        </w:rPr>
      </w:pPr>
      <w:r>
        <w:rPr>
          <w:sz w:val="24"/>
        </w:rPr>
        <w:t>Merumuskan kebijakan dan strategi mendapatkan konsesi atas potensi berkurangnya pendapatan Kabupaten Kutai Kartanegara akibat IKN.</w:t>
      </w:r>
    </w:p>
    <w:p>
      <w:pPr>
        <w:pStyle w:val="BodyText"/>
        <w:spacing w:before="20"/>
        <w:jc w:val="left"/>
      </w:pPr>
    </w:p>
    <w:p>
      <w:pPr>
        <w:pStyle w:val="ListParagraph"/>
        <w:numPr>
          <w:ilvl w:val="2"/>
          <w:numId w:val="7"/>
        </w:numPr>
        <w:tabs>
          <w:tab w:pos="1420" w:val="left" w:leader="none"/>
        </w:tabs>
        <w:spacing w:line="240" w:lineRule="auto" w:before="0" w:after="0"/>
        <w:ind w:left="1420" w:right="0" w:hanging="359"/>
        <w:jc w:val="both"/>
        <w:rPr>
          <w:sz w:val="24"/>
        </w:rPr>
      </w:pPr>
      <w:r>
        <w:rPr>
          <w:spacing w:val="-2"/>
          <w:sz w:val="24"/>
        </w:rPr>
        <w:t>Sasaran</w:t>
      </w:r>
    </w:p>
    <w:p>
      <w:pPr>
        <w:pStyle w:val="ListParagraph"/>
        <w:numPr>
          <w:ilvl w:val="0"/>
          <w:numId w:val="10"/>
        </w:numPr>
        <w:tabs>
          <w:tab w:pos="1966" w:val="left" w:leader="none"/>
          <w:tab w:pos="1987" w:val="left" w:leader="none"/>
        </w:tabs>
        <w:spacing w:line="360" w:lineRule="auto" w:before="161" w:after="0"/>
        <w:ind w:left="1987" w:right="782" w:hanging="360"/>
        <w:jc w:val="both"/>
        <w:rPr>
          <w:sz w:val="24"/>
        </w:rPr>
      </w:pPr>
      <w:r>
        <w:rPr>
          <w:sz w:val="24"/>
        </w:rPr>
        <w:t>Teridentifikasinya potensi pendapatan dan pengeluaran Kabupaten Kutai Kartanegara akibat diambilnya 6 (enam) wilayah</w:t>
      </w:r>
      <w:r>
        <w:rPr>
          <w:spacing w:val="40"/>
          <w:sz w:val="24"/>
        </w:rPr>
        <w:t> </w:t>
      </w:r>
      <w:r>
        <w:rPr>
          <w:sz w:val="24"/>
        </w:rPr>
        <w:t>kecamatan,</w:t>
      </w:r>
      <w:r>
        <w:rPr>
          <w:spacing w:val="40"/>
          <w:sz w:val="24"/>
        </w:rPr>
        <w:t> </w:t>
      </w:r>
      <w:r>
        <w:rPr>
          <w:sz w:val="24"/>
        </w:rPr>
        <w:t>yakni</w:t>
      </w:r>
      <w:r>
        <w:rPr>
          <w:spacing w:val="40"/>
          <w:sz w:val="24"/>
        </w:rPr>
        <w:t> </w:t>
      </w:r>
      <w:r>
        <w:rPr>
          <w:sz w:val="24"/>
        </w:rPr>
        <w:t>Kecamatan</w:t>
      </w:r>
      <w:r>
        <w:rPr>
          <w:spacing w:val="40"/>
          <w:sz w:val="24"/>
        </w:rPr>
        <w:t> </w:t>
      </w:r>
      <w:r>
        <w:rPr>
          <w:sz w:val="24"/>
        </w:rPr>
        <w:t>Samboja,</w:t>
      </w:r>
      <w:r>
        <w:rPr>
          <w:spacing w:val="40"/>
          <w:sz w:val="24"/>
        </w:rPr>
        <w:t> </w:t>
      </w:r>
      <w:r>
        <w:rPr>
          <w:sz w:val="24"/>
        </w:rPr>
        <w:t>Kecamatan</w:t>
      </w:r>
    </w:p>
    <w:p>
      <w:pPr>
        <w:pStyle w:val="ListParagraph"/>
        <w:spacing w:after="0" w:line="360" w:lineRule="auto"/>
        <w:jc w:val="both"/>
        <w:rPr>
          <w:sz w:val="24"/>
        </w:rPr>
        <w:sectPr>
          <w:pgSz w:w="11910" w:h="16840"/>
          <w:pgMar w:header="0" w:footer="1186" w:top="1580" w:bottom="1380" w:left="1700" w:right="992"/>
        </w:sectPr>
      </w:pPr>
    </w:p>
    <w:p>
      <w:pPr>
        <w:pStyle w:val="BodyText"/>
        <w:spacing w:line="360" w:lineRule="auto" w:before="82"/>
        <w:ind w:left="1987" w:right="784"/>
      </w:pPr>
      <w:r>
        <w:rPr/>
        <w:t>Samboja Barat, sebagian Kecamatan Muara Jawa, sebagian Kecamatan Loa Kulu, sebagian Kecamatan Loa Janan, dan sebagian wilayah Kecamatan Sanga-Sanga sebagai wilayah </w:t>
      </w:r>
      <w:r>
        <w:rPr>
          <w:spacing w:val="-4"/>
        </w:rPr>
        <w:t>IKN.</w:t>
      </w:r>
    </w:p>
    <w:p>
      <w:pPr>
        <w:pStyle w:val="ListParagraph"/>
        <w:numPr>
          <w:ilvl w:val="0"/>
          <w:numId w:val="10"/>
        </w:numPr>
        <w:tabs>
          <w:tab w:pos="1967" w:val="left" w:leader="none"/>
          <w:tab w:pos="1987" w:val="left" w:leader="none"/>
        </w:tabs>
        <w:spacing w:line="360" w:lineRule="auto" w:before="5" w:after="0"/>
        <w:ind w:left="1987" w:right="778" w:hanging="360"/>
        <w:jc w:val="both"/>
        <w:rPr>
          <w:sz w:val="24"/>
        </w:rPr>
      </w:pPr>
      <w:r>
        <w:rPr>
          <w:sz w:val="24"/>
        </w:rPr>
        <w:t>Teridentifikasinya</w:t>
      </w:r>
      <w:r>
        <w:rPr>
          <w:spacing w:val="-17"/>
          <w:sz w:val="24"/>
        </w:rPr>
        <w:t> </w:t>
      </w:r>
      <w:r>
        <w:rPr>
          <w:sz w:val="24"/>
        </w:rPr>
        <w:t>dampak</w:t>
      </w:r>
      <w:r>
        <w:rPr>
          <w:spacing w:val="-16"/>
          <w:sz w:val="24"/>
        </w:rPr>
        <w:t> </w:t>
      </w:r>
      <w:r>
        <w:rPr>
          <w:sz w:val="24"/>
        </w:rPr>
        <w:t>pendapatan</w:t>
      </w:r>
      <w:r>
        <w:rPr>
          <w:spacing w:val="-17"/>
          <w:sz w:val="24"/>
        </w:rPr>
        <w:t> </w:t>
      </w:r>
      <w:r>
        <w:rPr>
          <w:sz w:val="24"/>
        </w:rPr>
        <w:t>dan</w:t>
      </w:r>
      <w:r>
        <w:rPr>
          <w:spacing w:val="-16"/>
          <w:sz w:val="24"/>
        </w:rPr>
        <w:t> </w:t>
      </w:r>
      <w:r>
        <w:rPr>
          <w:sz w:val="24"/>
        </w:rPr>
        <w:t>pengeluaran</w:t>
      </w:r>
      <w:r>
        <w:rPr>
          <w:spacing w:val="-17"/>
          <w:sz w:val="24"/>
        </w:rPr>
        <w:t> </w:t>
      </w:r>
      <w:r>
        <w:rPr>
          <w:sz w:val="24"/>
        </w:rPr>
        <w:t>yang berubah akibat IKN terhadap aspek politik, ekonomi, sosial, teknologi, lingkungan, dan hukum di Kabupaten Kutai </w:t>
      </w:r>
      <w:r>
        <w:rPr>
          <w:spacing w:val="-2"/>
          <w:sz w:val="24"/>
        </w:rPr>
        <w:t>Kartanegara.</w:t>
      </w:r>
    </w:p>
    <w:p>
      <w:pPr>
        <w:pStyle w:val="ListParagraph"/>
        <w:numPr>
          <w:ilvl w:val="0"/>
          <w:numId w:val="10"/>
        </w:numPr>
        <w:tabs>
          <w:tab w:pos="1967" w:val="left" w:leader="none"/>
          <w:tab w:pos="1987" w:val="left" w:leader="none"/>
        </w:tabs>
        <w:spacing w:line="360" w:lineRule="auto" w:before="0" w:after="0"/>
        <w:ind w:left="1987" w:right="782" w:hanging="360"/>
        <w:jc w:val="both"/>
        <w:rPr>
          <w:sz w:val="24"/>
        </w:rPr>
      </w:pPr>
      <w:r>
        <w:rPr>
          <w:sz w:val="24"/>
        </w:rPr>
        <w:t>Terumuskannya</w:t>
      </w:r>
      <w:r>
        <w:rPr>
          <w:spacing w:val="-1"/>
          <w:sz w:val="24"/>
        </w:rPr>
        <w:t> </w:t>
      </w:r>
      <w:r>
        <w:rPr>
          <w:sz w:val="24"/>
        </w:rPr>
        <w:t>kebijakan dan strategi mendapatkan konsesi atas potensi berkurangnya pendapatan Kabupaten Kutai Kartanegara akibat IKN.</w:t>
      </w:r>
    </w:p>
    <w:p>
      <w:pPr>
        <w:pStyle w:val="Heading2"/>
        <w:numPr>
          <w:ilvl w:val="1"/>
          <w:numId w:val="7"/>
        </w:numPr>
        <w:tabs>
          <w:tab w:pos="1039" w:val="left" w:leader="none"/>
        </w:tabs>
        <w:spacing w:line="240" w:lineRule="auto" w:before="240" w:after="0"/>
        <w:ind w:left="1039" w:right="0" w:hanging="406"/>
        <w:jc w:val="left"/>
      </w:pPr>
      <w:bookmarkStart w:name="_bookmark8" w:id="9"/>
      <w:bookmarkEnd w:id="9"/>
      <w:r>
        <w:rPr>
          <w:b w:val="0"/>
        </w:rPr>
      </w:r>
      <w:r>
        <w:rPr/>
        <w:t>Ruang</w:t>
      </w:r>
      <w:r>
        <w:rPr>
          <w:spacing w:val="-14"/>
        </w:rPr>
        <w:t> </w:t>
      </w:r>
      <w:r>
        <w:rPr>
          <w:spacing w:val="-2"/>
        </w:rPr>
        <w:t>Lingkup</w:t>
      </w:r>
    </w:p>
    <w:p>
      <w:pPr>
        <w:pStyle w:val="BodyText"/>
        <w:spacing w:before="219"/>
        <w:ind w:left="1565"/>
      </w:pPr>
      <w:r>
        <w:rPr/>
        <w:t>Ruang</w:t>
      </w:r>
      <w:r>
        <w:rPr>
          <w:spacing w:val="-9"/>
        </w:rPr>
        <w:t> </w:t>
      </w:r>
      <w:r>
        <w:rPr/>
        <w:t>lingkup</w:t>
      </w:r>
      <w:r>
        <w:rPr>
          <w:spacing w:val="-4"/>
        </w:rPr>
        <w:t> </w:t>
      </w:r>
      <w:r>
        <w:rPr/>
        <w:t>penelitian</w:t>
      </w:r>
      <w:r>
        <w:rPr>
          <w:spacing w:val="-8"/>
        </w:rPr>
        <w:t> </w:t>
      </w:r>
      <w:r>
        <w:rPr/>
        <w:t>ini</w:t>
      </w:r>
      <w:r>
        <w:rPr>
          <w:spacing w:val="-6"/>
        </w:rPr>
        <w:t> </w:t>
      </w:r>
      <w:r>
        <w:rPr>
          <w:spacing w:val="-2"/>
        </w:rPr>
        <w:t>meliputi:</w:t>
      </w:r>
    </w:p>
    <w:p>
      <w:pPr>
        <w:pStyle w:val="ListParagraph"/>
        <w:numPr>
          <w:ilvl w:val="2"/>
          <w:numId w:val="7"/>
        </w:numPr>
        <w:tabs>
          <w:tab w:pos="1712" w:val="left" w:leader="none"/>
          <w:tab w:pos="1714" w:val="left" w:leader="none"/>
        </w:tabs>
        <w:spacing w:line="360" w:lineRule="auto" w:before="160" w:after="0"/>
        <w:ind w:left="1714" w:right="777" w:hanging="361"/>
        <w:jc w:val="both"/>
        <w:rPr>
          <w:sz w:val="24"/>
        </w:rPr>
      </w:pPr>
      <w:r>
        <w:rPr>
          <w:sz w:val="24"/>
        </w:rPr>
        <w:t>Identifikasi potensi pendapatan dan pengeluaran Kabupaten Kutai</w:t>
      </w:r>
      <w:r>
        <w:rPr>
          <w:spacing w:val="40"/>
          <w:sz w:val="24"/>
        </w:rPr>
        <w:t> </w:t>
      </w:r>
      <w:r>
        <w:rPr>
          <w:sz w:val="24"/>
        </w:rPr>
        <w:t>Kartanegara pasca IKN;</w:t>
      </w:r>
    </w:p>
    <w:p>
      <w:pPr>
        <w:pStyle w:val="ListParagraph"/>
        <w:numPr>
          <w:ilvl w:val="2"/>
          <w:numId w:val="7"/>
        </w:numPr>
        <w:tabs>
          <w:tab w:pos="1712" w:val="left" w:leader="none"/>
          <w:tab w:pos="1714" w:val="left" w:leader="none"/>
        </w:tabs>
        <w:spacing w:line="360" w:lineRule="auto" w:before="3" w:after="0"/>
        <w:ind w:left="1714" w:right="777" w:hanging="361"/>
        <w:jc w:val="both"/>
        <w:rPr>
          <w:sz w:val="24"/>
        </w:rPr>
      </w:pPr>
      <w:r>
        <w:rPr>
          <w:sz w:val="24"/>
        </w:rPr>
        <w:t>Menyusun </w:t>
      </w:r>
      <w:r>
        <w:rPr>
          <w:spacing w:val="21"/>
          <w:sz w:val="24"/>
        </w:rPr>
        <w:t>kebijakan</w:t>
      </w:r>
      <w:r>
        <w:rPr>
          <w:spacing w:val="21"/>
          <w:sz w:val="24"/>
        </w:rPr>
        <w:t> </w:t>
      </w:r>
      <w:r>
        <w:rPr>
          <w:spacing w:val="11"/>
          <w:sz w:val="24"/>
        </w:rPr>
        <w:t>dan</w:t>
      </w:r>
      <w:r>
        <w:rPr>
          <w:spacing w:val="11"/>
          <w:sz w:val="24"/>
        </w:rPr>
        <w:t> </w:t>
      </w:r>
      <w:r>
        <w:rPr>
          <w:sz w:val="24"/>
        </w:rPr>
        <w:t>strategi untuk mendapatkan konsesi atas potensi berkurangnya pendapatan Kutai Kartanegara akibat IKN</w:t>
      </w:r>
    </w:p>
    <w:p>
      <w:pPr>
        <w:pStyle w:val="ListParagraph"/>
        <w:spacing w:after="0" w:line="360" w:lineRule="auto"/>
        <w:jc w:val="both"/>
        <w:rPr>
          <w:sz w:val="24"/>
        </w:rPr>
        <w:sectPr>
          <w:pgSz w:w="11910" w:h="16840"/>
          <w:pgMar w:header="0" w:footer="1186" w:top="1580" w:bottom="1380" w:left="1700" w:right="992"/>
        </w:sectPr>
      </w:pPr>
    </w:p>
    <w:p>
      <w:pPr>
        <w:pStyle w:val="Heading1"/>
        <w:ind w:left="3116" w:right="2916" w:firstLine="979"/>
        <w:jc w:val="left"/>
        <w:rPr>
          <w:rFonts w:ascii="Segoe UI"/>
        </w:rPr>
      </w:pPr>
      <w:r>
        <w:rPr>
          <w:rFonts w:ascii="Segoe UI"/>
        </w:rPr>
        <w:t>BAB II </w:t>
      </w:r>
      <w:bookmarkStart w:name="_bookmark9" w:id="10"/>
      <w:bookmarkEnd w:id="10"/>
      <w:r>
        <w:rPr>
          <w:rFonts w:ascii="Segoe UI"/>
        </w:rPr>
        <w:t>T</w:t>
      </w:r>
      <w:r>
        <w:rPr>
          <w:rFonts w:ascii="Segoe UI"/>
        </w:rPr>
        <w:t>INJAUAN</w:t>
      </w:r>
      <w:r>
        <w:rPr>
          <w:rFonts w:ascii="Segoe UI"/>
          <w:spacing w:val="25"/>
        </w:rPr>
        <w:t> </w:t>
      </w:r>
      <w:r>
        <w:rPr>
          <w:rFonts w:ascii="Segoe UI"/>
        </w:rPr>
        <w:t>PUSTAKA</w:t>
      </w:r>
    </w:p>
    <w:p>
      <w:pPr>
        <w:pStyle w:val="BodyText"/>
        <w:spacing w:before="275"/>
        <w:jc w:val="left"/>
        <w:rPr>
          <w:b/>
          <w:sz w:val="28"/>
        </w:rPr>
      </w:pPr>
    </w:p>
    <w:p>
      <w:pPr>
        <w:pStyle w:val="Heading2"/>
        <w:numPr>
          <w:ilvl w:val="3"/>
          <w:numId w:val="7"/>
        </w:numPr>
        <w:tabs>
          <w:tab w:pos="1039" w:val="left" w:leader="none"/>
        </w:tabs>
        <w:spacing w:line="240" w:lineRule="auto" w:before="0" w:after="0"/>
        <w:ind w:left="1039" w:right="0" w:hanging="406"/>
        <w:jc w:val="both"/>
      </w:pPr>
      <w:bookmarkStart w:name="_bookmark10" w:id="11"/>
      <w:bookmarkEnd w:id="11"/>
      <w:r>
        <w:rPr>
          <w:b w:val="0"/>
        </w:rPr>
      </w:r>
      <w:r>
        <w:rPr/>
        <w:t>Tinjauan</w:t>
      </w:r>
      <w:r>
        <w:rPr>
          <w:spacing w:val="-9"/>
        </w:rPr>
        <w:t> </w:t>
      </w:r>
      <w:r>
        <w:rPr/>
        <w:t>Kebijakan</w:t>
      </w:r>
      <w:r>
        <w:rPr>
          <w:spacing w:val="-6"/>
        </w:rPr>
        <w:t> </w:t>
      </w:r>
      <w:r>
        <w:rPr>
          <w:spacing w:val="-5"/>
        </w:rPr>
        <w:t>IKN</w:t>
      </w:r>
    </w:p>
    <w:p>
      <w:pPr>
        <w:pStyle w:val="BodyText"/>
        <w:spacing w:line="360" w:lineRule="auto" w:before="223"/>
        <w:ind w:left="566" w:right="767" w:firstLine="710"/>
      </w:pPr>
      <w:r>
        <w:rPr/>
        <w:t>Pemindahan IKN dari Jakarta ke Nusantara telah ditetapkan melalui Undang-Undang (UU) Nomor 3 Tahun 2022 tentang Ibu Kota Negara, sebagaimana</w:t>
      </w:r>
      <w:r>
        <w:rPr>
          <w:spacing w:val="-6"/>
        </w:rPr>
        <w:t> </w:t>
      </w:r>
      <w:r>
        <w:rPr/>
        <w:t>diubah</w:t>
      </w:r>
      <w:r>
        <w:rPr>
          <w:spacing w:val="-5"/>
        </w:rPr>
        <w:t> </w:t>
      </w:r>
      <w:r>
        <w:rPr/>
        <w:t>dengan</w:t>
      </w:r>
      <w:r>
        <w:rPr>
          <w:spacing w:val="-6"/>
        </w:rPr>
        <w:t> </w:t>
      </w:r>
      <w:r>
        <w:rPr/>
        <w:t>UU</w:t>
      </w:r>
      <w:r>
        <w:rPr>
          <w:spacing w:val="-6"/>
        </w:rPr>
        <w:t> </w:t>
      </w:r>
      <w:r>
        <w:rPr/>
        <w:t>Nomor</w:t>
      </w:r>
      <w:r>
        <w:rPr>
          <w:spacing w:val="-7"/>
        </w:rPr>
        <w:t> </w:t>
      </w:r>
      <w:r>
        <w:rPr/>
        <w:t>21</w:t>
      </w:r>
      <w:r>
        <w:rPr>
          <w:spacing w:val="-4"/>
        </w:rPr>
        <w:t> </w:t>
      </w:r>
      <w:r>
        <w:rPr/>
        <w:t>Tahun</w:t>
      </w:r>
      <w:r>
        <w:rPr>
          <w:spacing w:val="-6"/>
        </w:rPr>
        <w:t> </w:t>
      </w:r>
      <w:r>
        <w:rPr/>
        <w:t>2023.</w:t>
      </w:r>
      <w:r>
        <w:rPr>
          <w:spacing w:val="-4"/>
        </w:rPr>
        <w:t> </w:t>
      </w:r>
      <w:r>
        <w:rPr/>
        <w:t>Berlakunya</w:t>
      </w:r>
      <w:r>
        <w:rPr>
          <w:spacing w:val="-7"/>
        </w:rPr>
        <w:t> </w:t>
      </w:r>
      <w:r>
        <w:rPr/>
        <w:t>UU</w:t>
      </w:r>
      <w:r>
        <w:rPr>
          <w:spacing w:val="-7"/>
        </w:rPr>
        <w:t> </w:t>
      </w:r>
      <w:r>
        <w:rPr/>
        <w:t>ini telah mengakibatkan perubahan mendasar dalam tata kelola sistem pemerintahan IKN baru, dibandingkan dengan sebelumnya yakni Provinsi </w:t>
      </w:r>
      <w:r>
        <w:rPr>
          <w:spacing w:val="-4"/>
        </w:rPr>
        <w:t>Daerah</w:t>
      </w:r>
      <w:r>
        <w:rPr>
          <w:spacing w:val="-12"/>
        </w:rPr>
        <w:t> </w:t>
      </w:r>
      <w:r>
        <w:rPr>
          <w:spacing w:val="-4"/>
        </w:rPr>
        <w:t>Khusus</w:t>
      </w:r>
      <w:r>
        <w:rPr>
          <w:spacing w:val="-6"/>
        </w:rPr>
        <w:t> </w:t>
      </w:r>
      <w:r>
        <w:rPr>
          <w:spacing w:val="-4"/>
        </w:rPr>
        <w:t>Ibukota</w:t>
      </w:r>
      <w:r>
        <w:rPr>
          <w:spacing w:val="-12"/>
        </w:rPr>
        <w:t> </w:t>
      </w:r>
      <w:r>
        <w:rPr>
          <w:spacing w:val="-4"/>
        </w:rPr>
        <w:t>(DKI)</w:t>
      </w:r>
      <w:r>
        <w:rPr>
          <w:spacing w:val="-11"/>
        </w:rPr>
        <w:t> </w:t>
      </w:r>
      <w:r>
        <w:rPr>
          <w:spacing w:val="-4"/>
        </w:rPr>
        <w:t>Jakarta</w:t>
      </w:r>
      <w:r>
        <w:rPr>
          <w:spacing w:val="-12"/>
        </w:rPr>
        <w:t> </w:t>
      </w:r>
      <w:r>
        <w:rPr>
          <w:spacing w:val="-4"/>
        </w:rPr>
        <w:t>yang</w:t>
      </w:r>
      <w:r>
        <w:rPr>
          <w:spacing w:val="-8"/>
        </w:rPr>
        <w:t> </w:t>
      </w:r>
      <w:r>
        <w:rPr>
          <w:spacing w:val="-4"/>
        </w:rPr>
        <w:t>diatur</w:t>
      </w:r>
      <w:r>
        <w:rPr>
          <w:spacing w:val="-7"/>
        </w:rPr>
        <w:t> </w:t>
      </w:r>
      <w:r>
        <w:rPr>
          <w:spacing w:val="-4"/>
        </w:rPr>
        <w:t>melalui</w:t>
      </w:r>
      <w:r>
        <w:rPr>
          <w:spacing w:val="-6"/>
        </w:rPr>
        <w:t> </w:t>
      </w:r>
      <w:r>
        <w:rPr>
          <w:spacing w:val="-4"/>
        </w:rPr>
        <w:t>UU</w:t>
      </w:r>
      <w:r>
        <w:rPr>
          <w:spacing w:val="-7"/>
        </w:rPr>
        <w:t> </w:t>
      </w:r>
      <w:r>
        <w:rPr>
          <w:spacing w:val="-4"/>
        </w:rPr>
        <w:t>Nomor</w:t>
      </w:r>
      <w:r>
        <w:rPr>
          <w:spacing w:val="-12"/>
        </w:rPr>
        <w:t> </w:t>
      </w:r>
      <w:r>
        <w:rPr>
          <w:spacing w:val="-4"/>
        </w:rPr>
        <w:t>29</w:t>
      </w:r>
      <w:r>
        <w:rPr>
          <w:spacing w:val="-5"/>
        </w:rPr>
        <w:t> </w:t>
      </w:r>
      <w:r>
        <w:rPr>
          <w:spacing w:val="-4"/>
        </w:rPr>
        <w:t>Tahun 2007</w:t>
      </w:r>
      <w:r>
        <w:rPr>
          <w:spacing w:val="-10"/>
        </w:rPr>
        <w:t> </w:t>
      </w:r>
      <w:r>
        <w:rPr>
          <w:spacing w:val="-4"/>
        </w:rPr>
        <w:t>tentang</w:t>
      </w:r>
      <w:r>
        <w:rPr>
          <w:spacing w:val="-7"/>
        </w:rPr>
        <w:t> </w:t>
      </w:r>
      <w:r>
        <w:rPr>
          <w:spacing w:val="-4"/>
        </w:rPr>
        <w:t>Provinsi</w:t>
      </w:r>
      <w:r>
        <w:rPr>
          <w:spacing w:val="-6"/>
        </w:rPr>
        <w:t> </w:t>
      </w:r>
      <w:r>
        <w:rPr>
          <w:spacing w:val="-4"/>
        </w:rPr>
        <w:t>DKI</w:t>
      </w:r>
      <w:r>
        <w:rPr>
          <w:spacing w:val="-12"/>
        </w:rPr>
        <w:t> </w:t>
      </w:r>
      <w:r>
        <w:rPr>
          <w:spacing w:val="-4"/>
        </w:rPr>
        <w:t>Jakarta.</w:t>
      </w:r>
      <w:r>
        <w:rPr>
          <w:spacing w:val="-9"/>
        </w:rPr>
        <w:t> </w:t>
      </w:r>
      <w:r>
        <w:rPr>
          <w:spacing w:val="-4"/>
        </w:rPr>
        <w:t>Diakui</w:t>
      </w:r>
      <w:r>
        <w:rPr>
          <w:spacing w:val="-6"/>
        </w:rPr>
        <w:t> </w:t>
      </w:r>
      <w:r>
        <w:rPr>
          <w:spacing w:val="-4"/>
        </w:rPr>
        <w:t>dalam</w:t>
      </w:r>
      <w:r>
        <w:rPr>
          <w:spacing w:val="-6"/>
        </w:rPr>
        <w:t> </w:t>
      </w:r>
      <w:r>
        <w:rPr>
          <w:spacing w:val="-4"/>
        </w:rPr>
        <w:t>UU</w:t>
      </w:r>
      <w:r>
        <w:rPr>
          <w:spacing w:val="-7"/>
        </w:rPr>
        <w:t> </w:t>
      </w:r>
      <w:r>
        <w:rPr>
          <w:spacing w:val="-4"/>
        </w:rPr>
        <w:t>ini</w:t>
      </w:r>
      <w:r>
        <w:rPr>
          <w:spacing w:val="-6"/>
        </w:rPr>
        <w:t> </w:t>
      </w:r>
      <w:r>
        <w:rPr>
          <w:spacing w:val="-4"/>
        </w:rPr>
        <w:t>bahwa</w:t>
      </w:r>
      <w:r>
        <w:rPr>
          <w:spacing w:val="-12"/>
        </w:rPr>
        <w:t> </w:t>
      </w:r>
      <w:r>
        <w:rPr>
          <w:spacing w:val="-4"/>
        </w:rPr>
        <w:t>sebelum</w:t>
      </w:r>
      <w:r>
        <w:rPr>
          <w:spacing w:val="-6"/>
        </w:rPr>
        <w:t> </w:t>
      </w:r>
      <w:r>
        <w:rPr>
          <w:spacing w:val="-4"/>
        </w:rPr>
        <w:t>UU</w:t>
      </w:r>
      <w:r>
        <w:rPr>
          <w:spacing w:val="-7"/>
        </w:rPr>
        <w:t> </w:t>
      </w:r>
      <w:r>
        <w:rPr>
          <w:spacing w:val="-4"/>
        </w:rPr>
        <w:t>ini </w:t>
      </w:r>
      <w:r>
        <w:rPr/>
        <w:t>ditetapkan, belum ada UU yang mengatur secara khusus tentang ibu kota negara. Salah satu yang diatur dalam UU ini yakni mengenai bentuk pemerintahan di ibu kota negara.</w:t>
      </w:r>
    </w:p>
    <w:p>
      <w:pPr>
        <w:pStyle w:val="BodyText"/>
        <w:spacing w:line="360" w:lineRule="auto"/>
        <w:ind w:left="566" w:right="764" w:firstLine="710"/>
      </w:pPr>
      <w:r>
        <w:rPr/>
        <w:t>Terkait dengan bentuk pemerintahan, jika menurut UU Nomor 29 Tahun</w:t>
      </w:r>
      <w:r>
        <w:rPr>
          <w:spacing w:val="-16"/>
        </w:rPr>
        <w:t> </w:t>
      </w:r>
      <w:r>
        <w:rPr/>
        <w:t>2007,</w:t>
      </w:r>
      <w:r>
        <w:rPr>
          <w:spacing w:val="-14"/>
        </w:rPr>
        <w:t> </w:t>
      </w:r>
      <w:r>
        <w:rPr/>
        <w:t>bentuk</w:t>
      </w:r>
      <w:r>
        <w:rPr>
          <w:spacing w:val="-13"/>
        </w:rPr>
        <w:t> </w:t>
      </w:r>
      <w:r>
        <w:rPr/>
        <w:t>pemerintahan</w:t>
      </w:r>
      <w:r>
        <w:rPr>
          <w:spacing w:val="-16"/>
        </w:rPr>
        <w:t> </w:t>
      </w:r>
      <w:r>
        <w:rPr/>
        <w:t>di</w:t>
      </w:r>
      <w:r>
        <w:rPr>
          <w:spacing w:val="-15"/>
        </w:rPr>
        <w:t> </w:t>
      </w:r>
      <w:r>
        <w:rPr/>
        <w:t>Jakarta</w:t>
      </w:r>
      <w:r>
        <w:rPr>
          <w:spacing w:val="-16"/>
        </w:rPr>
        <w:t> </w:t>
      </w:r>
      <w:r>
        <w:rPr/>
        <w:t>adalah</w:t>
      </w:r>
      <w:r>
        <w:rPr>
          <w:spacing w:val="-16"/>
        </w:rPr>
        <w:t> </w:t>
      </w:r>
      <w:r>
        <w:rPr/>
        <w:t>daerah</w:t>
      </w:r>
      <w:r>
        <w:rPr>
          <w:spacing w:val="-11"/>
        </w:rPr>
        <w:t> </w:t>
      </w:r>
      <w:r>
        <w:rPr/>
        <w:t>khusus</w:t>
      </w:r>
      <w:r>
        <w:rPr>
          <w:spacing w:val="-16"/>
        </w:rPr>
        <w:t> </w:t>
      </w:r>
      <w:r>
        <w:rPr/>
        <w:t>ibukota, maka</w:t>
      </w:r>
      <w:r>
        <w:rPr>
          <w:spacing w:val="-7"/>
        </w:rPr>
        <w:t> </w:t>
      </w:r>
      <w:r>
        <w:rPr/>
        <w:t>UU</w:t>
      </w:r>
      <w:r>
        <w:rPr>
          <w:spacing w:val="-6"/>
        </w:rPr>
        <w:t> </w:t>
      </w:r>
      <w:r>
        <w:rPr/>
        <w:t>Nomor</w:t>
      </w:r>
      <w:r>
        <w:rPr>
          <w:spacing w:val="-7"/>
        </w:rPr>
        <w:t> </w:t>
      </w:r>
      <w:r>
        <w:rPr/>
        <w:t>3</w:t>
      </w:r>
      <w:r>
        <w:rPr>
          <w:spacing w:val="-5"/>
        </w:rPr>
        <w:t> </w:t>
      </w:r>
      <w:r>
        <w:rPr/>
        <w:t>Tahun</w:t>
      </w:r>
      <w:r>
        <w:rPr>
          <w:spacing w:val="-6"/>
        </w:rPr>
        <w:t> </w:t>
      </w:r>
      <w:r>
        <w:rPr/>
        <w:t>2022</w:t>
      </w:r>
      <w:r>
        <w:rPr>
          <w:spacing w:val="-5"/>
        </w:rPr>
        <w:t> </w:t>
      </w:r>
      <w:r>
        <w:rPr/>
        <w:t>memberi</w:t>
      </w:r>
      <w:r>
        <w:rPr>
          <w:spacing w:val="-5"/>
        </w:rPr>
        <w:t> </w:t>
      </w:r>
      <w:r>
        <w:rPr/>
        <w:t>bentuk</w:t>
      </w:r>
      <w:r>
        <w:rPr>
          <w:spacing w:val="-4"/>
        </w:rPr>
        <w:t> </w:t>
      </w:r>
      <w:r>
        <w:rPr/>
        <w:t>otorita</w:t>
      </w:r>
      <w:r>
        <w:rPr>
          <w:spacing w:val="-7"/>
        </w:rPr>
        <w:t> </w:t>
      </w:r>
      <w:r>
        <w:rPr/>
        <w:t>sebagai</w:t>
      </w:r>
      <w:r>
        <w:rPr>
          <w:spacing w:val="-5"/>
        </w:rPr>
        <w:t> </w:t>
      </w:r>
      <w:r>
        <w:rPr/>
        <w:t>pengganti </w:t>
      </w:r>
      <w:r>
        <w:rPr>
          <w:spacing w:val="-6"/>
        </w:rPr>
        <w:t>provinsi</w:t>
      </w:r>
      <w:r>
        <w:rPr>
          <w:spacing w:val="-11"/>
        </w:rPr>
        <w:t> </w:t>
      </w:r>
      <w:r>
        <w:rPr>
          <w:spacing w:val="-6"/>
        </w:rPr>
        <w:t>dengan</w:t>
      </w:r>
      <w:r>
        <w:rPr>
          <w:spacing w:val="-10"/>
        </w:rPr>
        <w:t> </w:t>
      </w:r>
      <w:r>
        <w:rPr>
          <w:spacing w:val="-6"/>
        </w:rPr>
        <w:t>status</w:t>
      </w:r>
      <w:r>
        <w:rPr>
          <w:spacing w:val="-11"/>
        </w:rPr>
        <w:t> </w:t>
      </w:r>
      <w:r>
        <w:rPr>
          <w:spacing w:val="-6"/>
        </w:rPr>
        <w:t>kelembagaan</w:t>
      </w:r>
      <w:r>
        <w:rPr>
          <w:spacing w:val="-10"/>
        </w:rPr>
        <w:t> </w:t>
      </w:r>
      <w:r>
        <w:rPr>
          <w:spacing w:val="-6"/>
        </w:rPr>
        <w:t>setingkat</w:t>
      </w:r>
      <w:r>
        <w:rPr>
          <w:spacing w:val="-11"/>
        </w:rPr>
        <w:t> </w:t>
      </w:r>
      <w:r>
        <w:rPr>
          <w:spacing w:val="-6"/>
        </w:rPr>
        <w:t>menteri.</w:t>
      </w:r>
      <w:r>
        <w:rPr>
          <w:spacing w:val="-10"/>
        </w:rPr>
        <w:t> </w:t>
      </w:r>
      <w:r>
        <w:rPr>
          <w:spacing w:val="-6"/>
        </w:rPr>
        <w:t>Perubahan</w:t>
      </w:r>
      <w:r>
        <w:rPr>
          <w:spacing w:val="-11"/>
        </w:rPr>
        <w:t> </w:t>
      </w:r>
      <w:r>
        <w:rPr>
          <w:spacing w:val="-6"/>
        </w:rPr>
        <w:t>ini</w:t>
      </w:r>
      <w:r>
        <w:rPr>
          <w:spacing w:val="-10"/>
        </w:rPr>
        <w:t> </w:t>
      </w:r>
      <w:r>
        <w:rPr>
          <w:spacing w:val="-6"/>
        </w:rPr>
        <w:t>tentunya membawa implikasi</w:t>
      </w:r>
      <w:r>
        <w:rPr>
          <w:spacing w:val="-9"/>
        </w:rPr>
        <w:t> </w:t>
      </w:r>
      <w:r>
        <w:rPr>
          <w:spacing w:val="-6"/>
        </w:rPr>
        <w:t>yang besar</w:t>
      </w:r>
      <w:r>
        <w:rPr>
          <w:spacing w:val="-10"/>
        </w:rPr>
        <w:t> </w:t>
      </w:r>
      <w:r>
        <w:rPr>
          <w:spacing w:val="-6"/>
        </w:rPr>
        <w:t>bagi</w:t>
      </w:r>
      <w:r>
        <w:rPr>
          <w:spacing w:val="-8"/>
        </w:rPr>
        <w:t> </w:t>
      </w:r>
      <w:r>
        <w:rPr>
          <w:spacing w:val="-6"/>
        </w:rPr>
        <w:t>sistem</w:t>
      </w:r>
      <w:r>
        <w:rPr>
          <w:spacing w:val="-9"/>
        </w:rPr>
        <w:t> </w:t>
      </w:r>
      <w:r>
        <w:rPr>
          <w:spacing w:val="-6"/>
        </w:rPr>
        <w:t>penyelenggaraan pemerintahan di </w:t>
      </w:r>
      <w:r>
        <w:rPr>
          <w:spacing w:val="-2"/>
        </w:rPr>
        <w:t>IKN</w:t>
      </w:r>
      <w:r>
        <w:rPr>
          <w:spacing w:val="-15"/>
        </w:rPr>
        <w:t> </w:t>
      </w:r>
      <w:r>
        <w:rPr>
          <w:spacing w:val="-2"/>
        </w:rPr>
        <w:t>Nusantara,</w:t>
      </w:r>
      <w:r>
        <w:rPr>
          <w:spacing w:val="-14"/>
        </w:rPr>
        <w:t> </w:t>
      </w:r>
      <w:r>
        <w:rPr>
          <w:spacing w:val="-2"/>
        </w:rPr>
        <w:t>terutama</w:t>
      </w:r>
      <w:r>
        <w:rPr>
          <w:spacing w:val="-15"/>
        </w:rPr>
        <w:t> </w:t>
      </w:r>
      <w:r>
        <w:rPr>
          <w:spacing w:val="-2"/>
        </w:rPr>
        <w:t>dalam</w:t>
      </w:r>
      <w:r>
        <w:rPr>
          <w:spacing w:val="-14"/>
        </w:rPr>
        <w:t> </w:t>
      </w:r>
      <w:r>
        <w:rPr>
          <w:spacing w:val="-2"/>
        </w:rPr>
        <w:t>kaitannya</w:t>
      </w:r>
      <w:r>
        <w:rPr>
          <w:spacing w:val="-15"/>
        </w:rPr>
        <w:t> </w:t>
      </w:r>
      <w:r>
        <w:rPr>
          <w:spacing w:val="-2"/>
        </w:rPr>
        <w:t>dengan</w:t>
      </w:r>
      <w:r>
        <w:rPr>
          <w:spacing w:val="-14"/>
        </w:rPr>
        <w:t> </w:t>
      </w:r>
      <w:r>
        <w:rPr>
          <w:spacing w:val="-2"/>
        </w:rPr>
        <w:t>hubungan</w:t>
      </w:r>
      <w:r>
        <w:rPr>
          <w:spacing w:val="-15"/>
        </w:rPr>
        <w:t> </w:t>
      </w:r>
      <w:r>
        <w:rPr>
          <w:spacing w:val="-2"/>
        </w:rPr>
        <w:t>antar-lembaga, </w:t>
      </w:r>
      <w:r>
        <w:rPr>
          <w:spacing w:val="-8"/>
        </w:rPr>
        <w:t>yang belum</w:t>
      </w:r>
      <w:r>
        <w:rPr/>
        <w:t> </w:t>
      </w:r>
      <w:r>
        <w:rPr>
          <w:spacing w:val="-8"/>
        </w:rPr>
        <w:t>cukup dikaji</w:t>
      </w:r>
      <w:r>
        <w:rPr/>
        <w:t> </w:t>
      </w:r>
      <w:r>
        <w:rPr>
          <w:spacing w:val="-8"/>
        </w:rPr>
        <w:t>secara mendalam</w:t>
      </w:r>
      <w:r>
        <w:rPr/>
        <w:t> </w:t>
      </w:r>
      <w:r>
        <w:rPr>
          <w:spacing w:val="-8"/>
        </w:rPr>
        <w:t>karena proses penyusunan UU yang </w:t>
      </w:r>
      <w:r>
        <w:rPr/>
        <w:t>tergesa-gesa, yakni hanya 42 hari. Pemerintah dan DPR dinilai melupakan pentingnya regulatory impacts assesssments dan mekanisme penyusunan </w:t>
      </w:r>
      <w:r>
        <w:rPr>
          <w:spacing w:val="-6"/>
        </w:rPr>
        <w:t>kebijakan</w:t>
      </w:r>
      <w:r>
        <w:rPr>
          <w:spacing w:val="-9"/>
        </w:rPr>
        <w:t> </w:t>
      </w:r>
      <w:r>
        <w:rPr>
          <w:spacing w:val="-6"/>
        </w:rPr>
        <w:t>publik</w:t>
      </w:r>
      <w:r>
        <w:rPr>
          <w:spacing w:val="-8"/>
        </w:rPr>
        <w:t> </w:t>
      </w:r>
      <w:r>
        <w:rPr>
          <w:spacing w:val="-6"/>
        </w:rPr>
        <w:t>yang</w:t>
      </w:r>
      <w:r>
        <w:rPr>
          <w:spacing w:val="-10"/>
        </w:rPr>
        <w:t> </w:t>
      </w:r>
      <w:r>
        <w:rPr>
          <w:spacing w:val="-6"/>
        </w:rPr>
        <w:t>berdasarkan</w:t>
      </w:r>
      <w:r>
        <w:rPr>
          <w:spacing w:val="-9"/>
        </w:rPr>
        <w:t> </w:t>
      </w:r>
      <w:r>
        <w:rPr>
          <w:spacing w:val="-6"/>
        </w:rPr>
        <w:t>bukti</w:t>
      </w:r>
      <w:r>
        <w:rPr>
          <w:spacing w:val="-9"/>
        </w:rPr>
        <w:t> </w:t>
      </w:r>
      <w:r>
        <w:rPr>
          <w:spacing w:val="-6"/>
        </w:rPr>
        <w:t>empirik</w:t>
      </w:r>
      <w:r>
        <w:rPr>
          <w:spacing w:val="-7"/>
        </w:rPr>
        <w:t> </w:t>
      </w:r>
      <w:r>
        <w:rPr>
          <w:spacing w:val="-6"/>
        </w:rPr>
        <w:t>(evidence</w:t>
      </w:r>
      <w:r>
        <w:rPr>
          <w:spacing w:val="-8"/>
        </w:rPr>
        <w:t> </w:t>
      </w:r>
      <w:r>
        <w:rPr>
          <w:spacing w:val="-6"/>
        </w:rPr>
        <w:t>based-policy),</w:t>
      </w:r>
      <w:r>
        <w:rPr>
          <w:spacing w:val="-7"/>
        </w:rPr>
        <w:t> </w:t>
      </w:r>
      <w:r>
        <w:rPr>
          <w:spacing w:val="-6"/>
        </w:rPr>
        <w:t>yang </w:t>
      </w:r>
      <w:r>
        <w:rPr>
          <w:spacing w:val="-2"/>
        </w:rPr>
        <w:t>harus</w:t>
      </w:r>
      <w:r>
        <w:rPr>
          <w:spacing w:val="-14"/>
        </w:rPr>
        <w:t> </w:t>
      </w:r>
      <w:r>
        <w:rPr>
          <w:spacing w:val="-2"/>
        </w:rPr>
        <w:t>terbuka</w:t>
      </w:r>
      <w:r>
        <w:rPr>
          <w:spacing w:val="-15"/>
        </w:rPr>
        <w:t> </w:t>
      </w:r>
      <w:r>
        <w:rPr>
          <w:spacing w:val="-2"/>
        </w:rPr>
        <w:t>dan</w:t>
      </w:r>
      <w:r>
        <w:rPr>
          <w:spacing w:val="-15"/>
        </w:rPr>
        <w:t> </w:t>
      </w:r>
      <w:r>
        <w:rPr>
          <w:spacing w:val="-2"/>
        </w:rPr>
        <w:t>partisipatif</w:t>
      </w:r>
      <w:r>
        <w:rPr>
          <w:spacing w:val="-11"/>
        </w:rPr>
        <w:t> </w:t>
      </w:r>
      <w:r>
        <w:rPr>
          <w:spacing w:val="-2"/>
        </w:rPr>
        <w:t>(Nainggolan</w:t>
      </w:r>
      <w:r>
        <w:rPr>
          <w:spacing w:val="-15"/>
        </w:rPr>
        <w:t> </w:t>
      </w:r>
      <w:r>
        <w:rPr>
          <w:spacing w:val="-2"/>
        </w:rPr>
        <w:t>&amp;</w:t>
      </w:r>
      <w:r>
        <w:rPr>
          <w:spacing w:val="-14"/>
        </w:rPr>
        <w:t> </w:t>
      </w:r>
      <w:r>
        <w:rPr>
          <w:spacing w:val="-2"/>
        </w:rPr>
        <w:t>Katharina,</w:t>
      </w:r>
      <w:r>
        <w:rPr>
          <w:spacing w:val="-12"/>
        </w:rPr>
        <w:t> </w:t>
      </w:r>
      <w:r>
        <w:rPr>
          <w:spacing w:val="-2"/>
        </w:rPr>
        <w:t>2022:</w:t>
      </w:r>
      <w:r>
        <w:rPr>
          <w:spacing w:val="-12"/>
        </w:rPr>
        <w:t> </w:t>
      </w:r>
      <w:r>
        <w:rPr>
          <w:spacing w:val="-2"/>
        </w:rPr>
        <w:t>612).</w:t>
      </w:r>
    </w:p>
    <w:p>
      <w:pPr>
        <w:pStyle w:val="BodyText"/>
        <w:spacing w:line="360" w:lineRule="auto"/>
        <w:ind w:left="566" w:right="768" w:firstLine="710"/>
      </w:pPr>
      <w:r>
        <w:rPr/>
        <w:t>Sebagaimana dikenal selama ini, istilah “Otorita” dikenal dalam UU </w:t>
      </w:r>
      <w:r>
        <w:rPr>
          <w:spacing w:val="-6"/>
        </w:rPr>
        <w:t>Nomor</w:t>
      </w:r>
      <w:r>
        <w:rPr>
          <w:spacing w:val="-11"/>
        </w:rPr>
        <w:t> </w:t>
      </w:r>
      <w:r>
        <w:rPr>
          <w:spacing w:val="-6"/>
        </w:rPr>
        <w:t>23</w:t>
      </w:r>
      <w:r>
        <w:rPr>
          <w:spacing w:val="-10"/>
        </w:rPr>
        <w:t> </w:t>
      </w:r>
      <w:r>
        <w:rPr>
          <w:spacing w:val="-6"/>
        </w:rPr>
        <w:t>Tahun</w:t>
      </w:r>
      <w:r>
        <w:rPr>
          <w:spacing w:val="-11"/>
        </w:rPr>
        <w:t> </w:t>
      </w:r>
      <w:r>
        <w:rPr>
          <w:spacing w:val="-6"/>
        </w:rPr>
        <w:t>2014</w:t>
      </w:r>
      <w:r>
        <w:rPr>
          <w:spacing w:val="-10"/>
        </w:rPr>
        <w:t> </w:t>
      </w:r>
      <w:r>
        <w:rPr>
          <w:spacing w:val="-6"/>
        </w:rPr>
        <w:t>tentang</w:t>
      </w:r>
      <w:r>
        <w:rPr>
          <w:spacing w:val="-11"/>
        </w:rPr>
        <w:t> </w:t>
      </w:r>
      <w:r>
        <w:rPr>
          <w:spacing w:val="-6"/>
        </w:rPr>
        <w:t>Pemerintahan</w:t>
      </w:r>
      <w:r>
        <w:rPr>
          <w:spacing w:val="-10"/>
        </w:rPr>
        <w:t> </w:t>
      </w:r>
      <w:r>
        <w:rPr>
          <w:spacing w:val="-6"/>
        </w:rPr>
        <w:t>Daerah.</w:t>
      </w:r>
      <w:r>
        <w:rPr>
          <w:spacing w:val="-11"/>
        </w:rPr>
        <w:t> </w:t>
      </w:r>
      <w:r>
        <w:rPr>
          <w:spacing w:val="-6"/>
        </w:rPr>
        <w:t>Otorita</w:t>
      </w:r>
      <w:r>
        <w:rPr>
          <w:spacing w:val="-10"/>
        </w:rPr>
        <w:t> </w:t>
      </w:r>
      <w:r>
        <w:rPr>
          <w:spacing w:val="-6"/>
        </w:rPr>
        <w:t>diartikan</w:t>
      </w:r>
      <w:r>
        <w:rPr>
          <w:spacing w:val="-10"/>
        </w:rPr>
        <w:t> </w:t>
      </w:r>
      <w:r>
        <w:rPr>
          <w:spacing w:val="-6"/>
        </w:rPr>
        <w:t>sebagai </w:t>
      </w:r>
      <w:r>
        <w:rPr>
          <w:spacing w:val="-4"/>
        </w:rPr>
        <w:t>kawasan</w:t>
      </w:r>
      <w:r>
        <w:rPr>
          <w:spacing w:val="-24"/>
        </w:rPr>
        <w:t> </w:t>
      </w:r>
      <w:r>
        <w:rPr>
          <w:spacing w:val="-4"/>
        </w:rPr>
        <w:t>khusus</w:t>
      </w:r>
      <w:r>
        <w:rPr>
          <w:spacing w:val="-24"/>
        </w:rPr>
        <w:t> </w:t>
      </w:r>
      <w:r>
        <w:rPr>
          <w:spacing w:val="-4"/>
        </w:rPr>
        <w:t>yang</w:t>
      </w:r>
      <w:r>
        <w:rPr>
          <w:spacing w:val="-25"/>
        </w:rPr>
        <w:t> </w:t>
      </w:r>
      <w:r>
        <w:rPr>
          <w:spacing w:val="-4"/>
        </w:rPr>
        <w:t>dibentuk</w:t>
      </w:r>
      <w:r>
        <w:rPr>
          <w:spacing w:val="-22"/>
        </w:rPr>
        <w:t> </w:t>
      </w:r>
      <w:r>
        <w:rPr>
          <w:spacing w:val="-4"/>
        </w:rPr>
        <w:t>untuk</w:t>
      </w:r>
      <w:r>
        <w:rPr>
          <w:spacing w:val="-22"/>
        </w:rPr>
        <w:t> </w:t>
      </w:r>
      <w:r>
        <w:rPr>
          <w:spacing w:val="-4"/>
        </w:rPr>
        <w:t>menyelenggarakan</w:t>
      </w:r>
      <w:r>
        <w:rPr>
          <w:spacing w:val="-24"/>
        </w:rPr>
        <w:t> </w:t>
      </w:r>
      <w:r>
        <w:rPr>
          <w:spacing w:val="-4"/>
        </w:rPr>
        <w:t>fungsi</w:t>
      </w:r>
      <w:r>
        <w:rPr>
          <w:spacing w:val="-23"/>
        </w:rPr>
        <w:t> </w:t>
      </w:r>
      <w:r>
        <w:rPr>
          <w:spacing w:val="-4"/>
        </w:rPr>
        <w:t>pemerintahan</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6"/>
      </w:pPr>
      <w:r>
        <w:rPr/>
        <w:t>tertentu</w:t>
      </w:r>
      <w:r>
        <w:rPr>
          <w:spacing w:val="-15"/>
        </w:rPr>
        <w:t> </w:t>
      </w:r>
      <w:r>
        <w:rPr/>
        <w:t>yang</w:t>
      </w:r>
      <w:r>
        <w:rPr>
          <w:spacing w:val="-11"/>
        </w:rPr>
        <w:t> </w:t>
      </w:r>
      <w:r>
        <w:rPr/>
        <w:t>bersifat</w:t>
      </w:r>
      <w:r>
        <w:rPr>
          <w:spacing w:val="-13"/>
        </w:rPr>
        <w:t> </w:t>
      </w:r>
      <w:r>
        <w:rPr/>
        <w:t>strategis</w:t>
      </w:r>
      <w:r>
        <w:rPr>
          <w:spacing w:val="-15"/>
        </w:rPr>
        <w:t> </w:t>
      </w:r>
      <w:r>
        <w:rPr/>
        <w:t>bagi</w:t>
      </w:r>
      <w:r>
        <w:rPr>
          <w:spacing w:val="-10"/>
        </w:rPr>
        <w:t> </w:t>
      </w:r>
      <w:r>
        <w:rPr/>
        <w:t>kepentingan</w:t>
      </w:r>
      <w:r>
        <w:rPr>
          <w:spacing w:val="-10"/>
        </w:rPr>
        <w:t> </w:t>
      </w:r>
      <w:r>
        <w:rPr/>
        <w:t>nasional.</w:t>
      </w:r>
      <w:r>
        <w:rPr>
          <w:spacing w:val="-9"/>
        </w:rPr>
        <w:t> </w:t>
      </w:r>
      <w:r>
        <w:rPr/>
        <w:t>Kawasan</w:t>
      </w:r>
      <w:r>
        <w:rPr>
          <w:spacing w:val="-10"/>
        </w:rPr>
        <w:t> </w:t>
      </w:r>
      <w:r>
        <w:rPr/>
        <w:t>khusus </w:t>
      </w:r>
      <w:r>
        <w:rPr>
          <w:spacing w:val="-4"/>
        </w:rPr>
        <w:t>tersebut</w:t>
      </w:r>
      <w:r>
        <w:rPr>
          <w:spacing w:val="-11"/>
        </w:rPr>
        <w:t> </w:t>
      </w:r>
      <w:r>
        <w:rPr>
          <w:spacing w:val="-4"/>
        </w:rPr>
        <w:t>masih</w:t>
      </w:r>
      <w:r>
        <w:rPr>
          <w:spacing w:val="-8"/>
        </w:rPr>
        <w:t> </w:t>
      </w:r>
      <w:r>
        <w:rPr>
          <w:spacing w:val="-4"/>
        </w:rPr>
        <w:t>dalam</w:t>
      </w:r>
      <w:r>
        <w:rPr>
          <w:spacing w:val="-11"/>
        </w:rPr>
        <w:t> </w:t>
      </w:r>
      <w:r>
        <w:rPr>
          <w:spacing w:val="-4"/>
        </w:rPr>
        <w:t>wilayah</w:t>
      </w:r>
      <w:r>
        <w:rPr>
          <w:spacing w:val="-13"/>
        </w:rPr>
        <w:t> </w:t>
      </w:r>
      <w:r>
        <w:rPr>
          <w:spacing w:val="-4"/>
        </w:rPr>
        <w:t>provinsi</w:t>
      </w:r>
      <w:r>
        <w:rPr>
          <w:spacing w:val="-11"/>
        </w:rPr>
        <w:t> </w:t>
      </w:r>
      <w:r>
        <w:rPr>
          <w:spacing w:val="-4"/>
        </w:rPr>
        <w:t>dan/atau</w:t>
      </w:r>
      <w:r>
        <w:rPr>
          <w:spacing w:val="-8"/>
        </w:rPr>
        <w:t> </w:t>
      </w:r>
      <w:r>
        <w:rPr>
          <w:spacing w:val="-4"/>
        </w:rPr>
        <w:t>kabupaten/kota.</w:t>
      </w:r>
      <w:r>
        <w:rPr>
          <w:spacing w:val="-10"/>
        </w:rPr>
        <w:t> </w:t>
      </w:r>
      <w:r>
        <w:rPr>
          <w:spacing w:val="-4"/>
        </w:rPr>
        <w:t>Oleh</w:t>
      </w:r>
      <w:r>
        <w:rPr>
          <w:spacing w:val="-13"/>
        </w:rPr>
        <w:t> </w:t>
      </w:r>
      <w:r>
        <w:rPr>
          <w:spacing w:val="-4"/>
        </w:rPr>
        <w:t>karena itu,</w:t>
      </w:r>
      <w:r>
        <w:rPr>
          <w:spacing w:val="-11"/>
        </w:rPr>
        <w:t> </w:t>
      </w:r>
      <w:r>
        <w:rPr>
          <w:spacing w:val="-4"/>
        </w:rPr>
        <w:t>istilah</w:t>
      </w:r>
      <w:r>
        <w:rPr>
          <w:spacing w:val="-8"/>
        </w:rPr>
        <w:t> </w:t>
      </w:r>
      <w:r>
        <w:rPr>
          <w:spacing w:val="-4"/>
        </w:rPr>
        <w:t>“otorita”</w:t>
      </w:r>
      <w:r>
        <w:rPr>
          <w:spacing w:val="-6"/>
        </w:rPr>
        <w:t> </w:t>
      </w:r>
      <w:r>
        <w:rPr>
          <w:spacing w:val="-4"/>
        </w:rPr>
        <w:t>selama</w:t>
      </w:r>
      <w:r>
        <w:rPr>
          <w:spacing w:val="-9"/>
        </w:rPr>
        <w:t> </w:t>
      </w:r>
      <w:r>
        <w:rPr>
          <w:spacing w:val="-4"/>
        </w:rPr>
        <w:t>ini</w:t>
      </w:r>
      <w:r>
        <w:rPr>
          <w:spacing w:val="-7"/>
        </w:rPr>
        <w:t> </w:t>
      </w:r>
      <w:r>
        <w:rPr>
          <w:spacing w:val="-4"/>
        </w:rPr>
        <w:t>merupakan</w:t>
      </w:r>
      <w:r>
        <w:rPr>
          <w:spacing w:val="-8"/>
        </w:rPr>
        <w:t> </w:t>
      </w:r>
      <w:r>
        <w:rPr>
          <w:spacing w:val="-4"/>
        </w:rPr>
        <w:t>bagian dari</w:t>
      </w:r>
      <w:r>
        <w:rPr>
          <w:spacing w:val="-7"/>
        </w:rPr>
        <w:t> </w:t>
      </w:r>
      <w:r>
        <w:rPr>
          <w:spacing w:val="-4"/>
        </w:rPr>
        <w:t>sebuah</w:t>
      </w:r>
      <w:r>
        <w:rPr>
          <w:spacing w:val="-7"/>
        </w:rPr>
        <w:t> </w:t>
      </w:r>
      <w:r>
        <w:rPr>
          <w:spacing w:val="-4"/>
        </w:rPr>
        <w:t>daerah</w:t>
      </w:r>
      <w:r>
        <w:rPr>
          <w:spacing w:val="-8"/>
        </w:rPr>
        <w:t> </w:t>
      </w:r>
      <w:r>
        <w:rPr>
          <w:spacing w:val="-4"/>
        </w:rPr>
        <w:t>otonom, </w:t>
      </w:r>
      <w:r>
        <w:rPr/>
        <w:t>atau dalam istilah lain disebut sebagai desentralisasi fungsional (Maksum, </w:t>
      </w:r>
      <w:r>
        <w:rPr>
          <w:spacing w:val="-2"/>
        </w:rPr>
        <w:t>2006).</w:t>
      </w:r>
    </w:p>
    <w:p>
      <w:pPr>
        <w:pStyle w:val="BodyText"/>
        <w:spacing w:line="360" w:lineRule="auto" w:before="2"/>
        <w:ind w:left="566" w:right="767" w:firstLine="710"/>
      </w:pPr>
      <w:r>
        <w:rPr/>
        <w:t>UU Nomor 3 Tahun 2022, menyebutkan bahwa ibukota negara bernama</w:t>
      </w:r>
      <w:r>
        <w:rPr>
          <w:spacing w:val="-10"/>
        </w:rPr>
        <w:t> </w:t>
      </w:r>
      <w:r>
        <w:rPr/>
        <w:t>Nusantara,</w:t>
      </w:r>
      <w:r>
        <w:rPr>
          <w:spacing w:val="-8"/>
        </w:rPr>
        <w:t> </w:t>
      </w:r>
      <w:r>
        <w:rPr/>
        <w:t>yang</w:t>
      </w:r>
      <w:r>
        <w:rPr>
          <w:spacing w:val="-10"/>
        </w:rPr>
        <w:t> </w:t>
      </w:r>
      <w:r>
        <w:rPr/>
        <w:t>selanjutnya</w:t>
      </w:r>
      <w:r>
        <w:rPr>
          <w:spacing w:val="-10"/>
        </w:rPr>
        <w:t> </w:t>
      </w:r>
      <w:r>
        <w:rPr/>
        <w:t>disebut</w:t>
      </w:r>
      <w:r>
        <w:rPr>
          <w:spacing w:val="-8"/>
        </w:rPr>
        <w:t> </w:t>
      </w:r>
      <w:r>
        <w:rPr/>
        <w:t>sebagai</w:t>
      </w:r>
      <w:r>
        <w:rPr>
          <w:spacing w:val="-9"/>
        </w:rPr>
        <w:t> </w:t>
      </w:r>
      <w:r>
        <w:rPr/>
        <w:t>IKN.</w:t>
      </w:r>
      <w:r>
        <w:rPr>
          <w:spacing w:val="-8"/>
        </w:rPr>
        <w:t> </w:t>
      </w:r>
      <w:r>
        <w:rPr/>
        <w:t>IKN</w:t>
      </w:r>
      <w:r>
        <w:rPr>
          <w:spacing w:val="-10"/>
        </w:rPr>
        <w:t> </w:t>
      </w:r>
      <w:r>
        <w:rPr/>
        <w:t>merupakan satuan pemerintahan daerah yang bersifat khusus setingkat provinsi yang wilayahnya menjadi tempat kedudukan ibu kota negara. Selanjutnya disebutkan pula bahwa Pemerintahan Daerah Khusus Ibu Kota Nusantara adalah</w:t>
      </w:r>
      <w:r>
        <w:rPr>
          <w:spacing w:val="-13"/>
        </w:rPr>
        <w:t> </w:t>
      </w:r>
      <w:r>
        <w:rPr/>
        <w:t>pemerintahan</w:t>
      </w:r>
      <w:r>
        <w:rPr>
          <w:spacing w:val="-13"/>
        </w:rPr>
        <w:t> </w:t>
      </w:r>
      <w:r>
        <w:rPr/>
        <w:t>daerah</w:t>
      </w:r>
      <w:r>
        <w:rPr>
          <w:spacing w:val="-13"/>
        </w:rPr>
        <w:t> </w:t>
      </w:r>
      <w:r>
        <w:rPr/>
        <w:t>yang</w:t>
      </w:r>
      <w:r>
        <w:rPr>
          <w:spacing w:val="-13"/>
        </w:rPr>
        <w:t> </w:t>
      </w:r>
      <w:r>
        <w:rPr/>
        <w:t>bersifat</w:t>
      </w:r>
      <w:r>
        <w:rPr>
          <w:spacing w:val="-12"/>
        </w:rPr>
        <w:t> </w:t>
      </w:r>
      <w:r>
        <w:rPr/>
        <w:t>khusus</w:t>
      </w:r>
      <w:r>
        <w:rPr>
          <w:spacing w:val="-12"/>
        </w:rPr>
        <w:t> </w:t>
      </w:r>
      <w:r>
        <w:rPr/>
        <w:t>yang</w:t>
      </w:r>
      <w:r>
        <w:rPr>
          <w:spacing w:val="-13"/>
        </w:rPr>
        <w:t> </w:t>
      </w:r>
      <w:r>
        <w:rPr/>
        <w:t>menyelenggarakan </w:t>
      </w:r>
      <w:r>
        <w:rPr>
          <w:spacing w:val="-6"/>
        </w:rPr>
        <w:t>urusan</w:t>
      </w:r>
      <w:r>
        <w:rPr>
          <w:spacing w:val="-11"/>
        </w:rPr>
        <w:t> </w:t>
      </w:r>
      <w:r>
        <w:rPr>
          <w:spacing w:val="-6"/>
        </w:rPr>
        <w:t>pemerintahan</w:t>
      </w:r>
      <w:r>
        <w:rPr>
          <w:spacing w:val="-10"/>
        </w:rPr>
        <w:t> </w:t>
      </w:r>
      <w:r>
        <w:rPr>
          <w:spacing w:val="-6"/>
        </w:rPr>
        <w:t>di</w:t>
      </w:r>
      <w:r>
        <w:rPr>
          <w:spacing w:val="-11"/>
        </w:rPr>
        <w:t> </w:t>
      </w:r>
      <w:r>
        <w:rPr>
          <w:spacing w:val="-6"/>
        </w:rPr>
        <w:t>IKN.</w:t>
      </w:r>
      <w:r>
        <w:rPr>
          <w:spacing w:val="-10"/>
        </w:rPr>
        <w:t> </w:t>
      </w:r>
      <w:r>
        <w:rPr>
          <w:spacing w:val="-6"/>
        </w:rPr>
        <w:t>Adapun</w:t>
      </w:r>
      <w:r>
        <w:rPr>
          <w:spacing w:val="-11"/>
        </w:rPr>
        <w:t> </w:t>
      </w:r>
      <w:r>
        <w:rPr>
          <w:spacing w:val="-6"/>
        </w:rPr>
        <w:t>pemerintahan</w:t>
      </w:r>
      <w:r>
        <w:rPr>
          <w:spacing w:val="-10"/>
        </w:rPr>
        <w:t> </w:t>
      </w:r>
      <w:r>
        <w:rPr>
          <w:spacing w:val="-6"/>
        </w:rPr>
        <w:t>daerah</w:t>
      </w:r>
      <w:r>
        <w:rPr>
          <w:spacing w:val="-11"/>
        </w:rPr>
        <w:t> </w:t>
      </w:r>
      <w:r>
        <w:rPr>
          <w:spacing w:val="-6"/>
        </w:rPr>
        <w:t>tersebut</w:t>
      </w:r>
      <w:r>
        <w:rPr>
          <w:spacing w:val="-10"/>
        </w:rPr>
        <w:t> </w:t>
      </w:r>
      <w:r>
        <w:rPr>
          <w:spacing w:val="-6"/>
        </w:rPr>
        <w:t>dijalankan </w:t>
      </w:r>
      <w:r>
        <w:rPr>
          <w:spacing w:val="-4"/>
        </w:rPr>
        <w:t>oleh</w:t>
      </w:r>
      <w:r>
        <w:rPr>
          <w:spacing w:val="-13"/>
        </w:rPr>
        <w:t> </w:t>
      </w:r>
      <w:r>
        <w:rPr>
          <w:spacing w:val="-4"/>
        </w:rPr>
        <w:t>pemerintah</w:t>
      </w:r>
      <w:r>
        <w:rPr>
          <w:spacing w:val="-12"/>
        </w:rPr>
        <w:t> </w:t>
      </w:r>
      <w:r>
        <w:rPr>
          <w:spacing w:val="-4"/>
        </w:rPr>
        <w:t>daerah</w:t>
      </w:r>
      <w:r>
        <w:rPr>
          <w:spacing w:val="-13"/>
        </w:rPr>
        <w:t> </w:t>
      </w:r>
      <w:r>
        <w:rPr>
          <w:spacing w:val="-4"/>
        </w:rPr>
        <w:t>(Pemda)</w:t>
      </w:r>
      <w:r>
        <w:rPr>
          <w:spacing w:val="-12"/>
        </w:rPr>
        <w:t> </w:t>
      </w:r>
      <w:r>
        <w:rPr>
          <w:spacing w:val="-4"/>
        </w:rPr>
        <w:t>yang</w:t>
      </w:r>
      <w:r>
        <w:rPr>
          <w:spacing w:val="-13"/>
        </w:rPr>
        <w:t> </w:t>
      </w:r>
      <w:r>
        <w:rPr>
          <w:spacing w:val="-4"/>
        </w:rPr>
        <w:t>disebut</w:t>
      </w:r>
      <w:r>
        <w:rPr>
          <w:spacing w:val="-12"/>
        </w:rPr>
        <w:t> </w:t>
      </w:r>
      <w:r>
        <w:rPr>
          <w:spacing w:val="-4"/>
        </w:rPr>
        <w:t>Pemerintah</w:t>
      </w:r>
      <w:r>
        <w:rPr>
          <w:spacing w:val="-13"/>
        </w:rPr>
        <w:t> </w:t>
      </w:r>
      <w:r>
        <w:rPr>
          <w:spacing w:val="-4"/>
        </w:rPr>
        <w:t>Daerah</w:t>
      </w:r>
      <w:r>
        <w:rPr>
          <w:spacing w:val="-12"/>
        </w:rPr>
        <w:t> </w:t>
      </w:r>
      <w:r>
        <w:rPr>
          <w:spacing w:val="-4"/>
        </w:rPr>
        <w:t>Khusus</w:t>
      </w:r>
      <w:r>
        <w:rPr>
          <w:spacing w:val="-12"/>
        </w:rPr>
        <w:t> </w:t>
      </w:r>
      <w:r>
        <w:rPr>
          <w:spacing w:val="-4"/>
        </w:rPr>
        <w:t>Ibu </w:t>
      </w:r>
      <w:r>
        <w:rPr/>
        <w:t>Kota Nusantara yang disebut sebagai Otorita Ibu Kota Nusantara, yang bertugas menjadi pelaksana kegiatan persiapan, pembangunan, dan pemindahan ibu kota negara, serta penyelenggara pemerintahan daerah khusus ibu kota Nusantara. Selain otorita, terdapat pula</w:t>
      </w:r>
      <w:r>
        <w:rPr>
          <w:spacing w:val="-1"/>
        </w:rPr>
        <w:t> </w:t>
      </w:r>
      <w:r>
        <w:rPr/>
        <w:t>Kawasan Strategis Nasional (KSN) Ibu Kota Nusantara, yaitu kawasan khusus yang cakupan wilayah</w:t>
      </w:r>
      <w:r>
        <w:rPr>
          <w:spacing w:val="-3"/>
        </w:rPr>
        <w:t> </w:t>
      </w:r>
      <w:r>
        <w:rPr/>
        <w:t>dan</w:t>
      </w:r>
      <w:r>
        <w:rPr>
          <w:spacing w:val="-3"/>
        </w:rPr>
        <w:t> </w:t>
      </w:r>
      <w:r>
        <w:rPr/>
        <w:t>fungsinya</w:t>
      </w:r>
      <w:r>
        <w:rPr>
          <w:spacing w:val="-3"/>
        </w:rPr>
        <w:t> </w:t>
      </w:r>
      <w:r>
        <w:rPr/>
        <w:t>ditetapkan</w:t>
      </w:r>
      <w:r>
        <w:rPr>
          <w:spacing w:val="-3"/>
        </w:rPr>
        <w:t> </w:t>
      </w:r>
      <w:r>
        <w:rPr/>
        <w:t>dan</w:t>
      </w:r>
      <w:r>
        <w:rPr>
          <w:spacing w:val="-3"/>
        </w:rPr>
        <w:t> </w:t>
      </w:r>
      <w:r>
        <w:rPr/>
        <w:t>diatur dengan</w:t>
      </w:r>
      <w:r>
        <w:rPr>
          <w:spacing w:val="-3"/>
        </w:rPr>
        <w:t> </w:t>
      </w:r>
      <w:r>
        <w:rPr/>
        <w:t>UU</w:t>
      </w:r>
      <w:r>
        <w:rPr>
          <w:spacing w:val="-3"/>
        </w:rPr>
        <w:t> </w:t>
      </w:r>
      <w:r>
        <w:rPr/>
        <w:t>ini.</w:t>
      </w:r>
      <w:r>
        <w:rPr>
          <w:spacing w:val="-1"/>
        </w:rPr>
        <w:t> </w:t>
      </w:r>
      <w:r>
        <w:rPr/>
        <w:t>Dibandingkan dengan UU Nomor 29 Tahun 2007, Provinsi DKI Jakarta diperkenankan </w:t>
      </w:r>
      <w:r>
        <w:rPr>
          <w:spacing w:val="-2"/>
        </w:rPr>
        <w:t>membentuk</w:t>
      </w:r>
      <w:r>
        <w:rPr>
          <w:spacing w:val="-7"/>
        </w:rPr>
        <w:t> </w:t>
      </w:r>
      <w:r>
        <w:rPr>
          <w:spacing w:val="-2"/>
        </w:rPr>
        <w:t>kawasan</w:t>
      </w:r>
      <w:r>
        <w:rPr>
          <w:spacing w:val="-13"/>
        </w:rPr>
        <w:t> </w:t>
      </w:r>
      <w:r>
        <w:rPr>
          <w:spacing w:val="-2"/>
        </w:rPr>
        <w:t>khusus.</w:t>
      </w:r>
      <w:r>
        <w:rPr>
          <w:spacing w:val="-12"/>
        </w:rPr>
        <w:t> </w:t>
      </w:r>
      <w:r>
        <w:rPr>
          <w:spacing w:val="-2"/>
        </w:rPr>
        <w:t>Selain</w:t>
      </w:r>
      <w:r>
        <w:rPr>
          <w:spacing w:val="-9"/>
        </w:rPr>
        <w:t> </w:t>
      </w:r>
      <w:r>
        <w:rPr>
          <w:spacing w:val="-2"/>
        </w:rPr>
        <w:t>itu,</w:t>
      </w:r>
      <w:r>
        <w:rPr>
          <w:spacing w:val="-7"/>
        </w:rPr>
        <w:t> </w:t>
      </w:r>
      <w:r>
        <w:rPr>
          <w:spacing w:val="-2"/>
        </w:rPr>
        <w:t>di</w:t>
      </w:r>
      <w:r>
        <w:rPr>
          <w:spacing w:val="-8"/>
        </w:rPr>
        <w:t> </w:t>
      </w:r>
      <w:r>
        <w:rPr>
          <w:spacing w:val="-2"/>
        </w:rPr>
        <w:t>Provinsi</w:t>
      </w:r>
      <w:r>
        <w:rPr>
          <w:spacing w:val="-8"/>
        </w:rPr>
        <w:t> </w:t>
      </w:r>
      <w:r>
        <w:rPr>
          <w:spacing w:val="-2"/>
        </w:rPr>
        <w:t>DKI</w:t>
      </w:r>
      <w:r>
        <w:rPr>
          <w:spacing w:val="-9"/>
        </w:rPr>
        <w:t> </w:t>
      </w:r>
      <w:r>
        <w:rPr>
          <w:spacing w:val="-2"/>
        </w:rPr>
        <w:t>Jakarta</w:t>
      </w:r>
      <w:r>
        <w:rPr>
          <w:spacing w:val="-9"/>
        </w:rPr>
        <w:t> </w:t>
      </w:r>
      <w:r>
        <w:rPr>
          <w:spacing w:val="-2"/>
        </w:rPr>
        <w:t>juga</w:t>
      </w:r>
      <w:r>
        <w:rPr>
          <w:spacing w:val="-10"/>
        </w:rPr>
        <w:t> </w:t>
      </w:r>
      <w:r>
        <w:rPr>
          <w:spacing w:val="-2"/>
        </w:rPr>
        <w:t>terdapat </w:t>
      </w:r>
      <w:r>
        <w:rPr>
          <w:spacing w:val="-8"/>
        </w:rPr>
        <w:t>kota administrasi</w:t>
      </w:r>
      <w:r>
        <w:rPr/>
        <w:t> </w:t>
      </w:r>
      <w:r>
        <w:rPr>
          <w:spacing w:val="-8"/>
        </w:rPr>
        <w:t>yang dipimpin oleh walikota yang tidak</w:t>
      </w:r>
      <w:r>
        <w:rPr/>
        <w:t> </w:t>
      </w:r>
      <w:r>
        <w:rPr>
          <w:spacing w:val="-8"/>
        </w:rPr>
        <w:t>dipilih melalui pemilu, </w:t>
      </w:r>
      <w:r>
        <w:rPr/>
        <w:t>namun diangkat dari PNS.</w:t>
      </w:r>
    </w:p>
    <w:p>
      <w:pPr>
        <w:pStyle w:val="BodyText"/>
        <w:spacing w:line="360" w:lineRule="auto" w:before="4"/>
        <w:ind w:left="566" w:right="766" w:firstLine="710"/>
      </w:pPr>
      <w:r>
        <w:rPr>
          <w:spacing w:val="-2"/>
        </w:rPr>
        <w:t>Dari</w:t>
      </w:r>
      <w:r>
        <w:rPr>
          <w:spacing w:val="-15"/>
        </w:rPr>
        <w:t> </w:t>
      </w:r>
      <w:r>
        <w:rPr>
          <w:spacing w:val="-2"/>
        </w:rPr>
        <w:t>ketentuan</w:t>
      </w:r>
      <w:r>
        <w:rPr>
          <w:spacing w:val="-14"/>
        </w:rPr>
        <w:t> </w:t>
      </w:r>
      <w:r>
        <w:rPr>
          <w:spacing w:val="-2"/>
        </w:rPr>
        <w:t>tersebut,</w:t>
      </w:r>
      <w:r>
        <w:rPr>
          <w:spacing w:val="-15"/>
        </w:rPr>
        <w:t> </w:t>
      </w:r>
      <w:r>
        <w:rPr>
          <w:spacing w:val="-2"/>
        </w:rPr>
        <w:t>tampak</w:t>
      </w:r>
      <w:r>
        <w:rPr>
          <w:spacing w:val="-14"/>
        </w:rPr>
        <w:t> </w:t>
      </w:r>
      <w:r>
        <w:rPr>
          <w:spacing w:val="-2"/>
        </w:rPr>
        <w:t>bahwa</w:t>
      </w:r>
      <w:r>
        <w:rPr>
          <w:spacing w:val="-15"/>
        </w:rPr>
        <w:t> </w:t>
      </w:r>
      <w:r>
        <w:rPr>
          <w:spacing w:val="-2"/>
        </w:rPr>
        <w:t>“otorita”</w:t>
      </w:r>
      <w:r>
        <w:rPr>
          <w:spacing w:val="-14"/>
        </w:rPr>
        <w:t> </w:t>
      </w:r>
      <w:r>
        <w:rPr>
          <w:spacing w:val="-2"/>
        </w:rPr>
        <w:t>dalam</w:t>
      </w:r>
      <w:r>
        <w:rPr>
          <w:spacing w:val="-15"/>
        </w:rPr>
        <w:t> </w:t>
      </w:r>
      <w:r>
        <w:rPr>
          <w:spacing w:val="-2"/>
        </w:rPr>
        <w:t>UU</w:t>
      </w:r>
      <w:r>
        <w:rPr>
          <w:spacing w:val="-14"/>
        </w:rPr>
        <w:t> </w:t>
      </w:r>
      <w:r>
        <w:rPr>
          <w:spacing w:val="-2"/>
        </w:rPr>
        <w:t>Nomor</w:t>
      </w:r>
      <w:r>
        <w:rPr>
          <w:spacing w:val="-14"/>
        </w:rPr>
        <w:t> </w:t>
      </w:r>
      <w:r>
        <w:rPr>
          <w:spacing w:val="-2"/>
        </w:rPr>
        <w:t>23 </w:t>
      </w:r>
      <w:r>
        <w:rPr/>
        <w:t>Tahun 2014 berbeda dengan “Otorita” dalam UU Nomor 3 Tahun 2022. Perbedaan</w:t>
      </w:r>
      <w:r>
        <w:rPr>
          <w:spacing w:val="-17"/>
        </w:rPr>
        <w:t> </w:t>
      </w:r>
      <w:r>
        <w:rPr/>
        <w:t>bentuk</w:t>
      </w:r>
      <w:r>
        <w:rPr>
          <w:spacing w:val="-16"/>
        </w:rPr>
        <w:t> </w:t>
      </w:r>
      <w:r>
        <w:rPr/>
        <w:t>pemerintahan</w:t>
      </w:r>
      <w:r>
        <w:rPr>
          <w:spacing w:val="-17"/>
        </w:rPr>
        <w:t> </w:t>
      </w:r>
      <w:r>
        <w:rPr/>
        <w:t>ini</w:t>
      </w:r>
      <w:r>
        <w:rPr>
          <w:spacing w:val="-16"/>
        </w:rPr>
        <w:t> </w:t>
      </w:r>
      <w:r>
        <w:rPr/>
        <w:t>tentu</w:t>
      </w:r>
      <w:r>
        <w:rPr>
          <w:spacing w:val="-17"/>
        </w:rPr>
        <w:t> </w:t>
      </w:r>
      <w:r>
        <w:rPr/>
        <w:t>membawa</w:t>
      </w:r>
      <w:r>
        <w:rPr>
          <w:spacing w:val="-16"/>
        </w:rPr>
        <w:t> </w:t>
      </w:r>
      <w:r>
        <w:rPr/>
        <w:t>konsekuensi</w:t>
      </w:r>
      <w:r>
        <w:rPr>
          <w:spacing w:val="-17"/>
        </w:rPr>
        <w:t> </w:t>
      </w:r>
      <w:r>
        <w:rPr/>
        <w:t>terhadap </w:t>
      </w:r>
      <w:r>
        <w:rPr>
          <w:spacing w:val="-4"/>
        </w:rPr>
        <w:t>tata</w:t>
      </w:r>
      <w:r>
        <w:rPr>
          <w:spacing w:val="-13"/>
        </w:rPr>
        <w:t> </w:t>
      </w:r>
      <w:r>
        <w:rPr>
          <w:spacing w:val="-4"/>
        </w:rPr>
        <w:t>kelola</w:t>
      </w:r>
      <w:r>
        <w:rPr>
          <w:spacing w:val="-12"/>
        </w:rPr>
        <w:t> </w:t>
      </w:r>
      <w:r>
        <w:rPr>
          <w:spacing w:val="-4"/>
        </w:rPr>
        <w:t>pemerintahan.</w:t>
      </w:r>
      <w:r>
        <w:rPr>
          <w:spacing w:val="-12"/>
        </w:rPr>
        <w:t> </w:t>
      </w:r>
      <w:r>
        <w:rPr>
          <w:spacing w:val="-4"/>
        </w:rPr>
        <w:t>Berbeda</w:t>
      </w:r>
      <w:r>
        <w:rPr>
          <w:spacing w:val="-13"/>
        </w:rPr>
        <w:t> </w:t>
      </w:r>
      <w:r>
        <w:rPr>
          <w:spacing w:val="-4"/>
        </w:rPr>
        <w:t>dengan</w:t>
      </w:r>
      <w:r>
        <w:rPr>
          <w:spacing w:val="-12"/>
        </w:rPr>
        <w:t> </w:t>
      </w:r>
      <w:r>
        <w:rPr>
          <w:spacing w:val="-4"/>
        </w:rPr>
        <w:t>Provinsi</w:t>
      </w:r>
      <w:r>
        <w:rPr>
          <w:spacing w:val="-9"/>
        </w:rPr>
        <w:t> </w:t>
      </w:r>
      <w:r>
        <w:rPr>
          <w:spacing w:val="-4"/>
        </w:rPr>
        <w:t>DKI</w:t>
      </w:r>
      <w:r>
        <w:rPr>
          <w:spacing w:val="-12"/>
        </w:rPr>
        <w:t> </w:t>
      </w:r>
      <w:r>
        <w:rPr>
          <w:spacing w:val="-4"/>
        </w:rPr>
        <w:t>Jakarta</w:t>
      </w:r>
      <w:r>
        <w:rPr>
          <w:spacing w:val="-13"/>
        </w:rPr>
        <w:t> </w:t>
      </w:r>
      <w:r>
        <w:rPr>
          <w:spacing w:val="-4"/>
        </w:rPr>
        <w:t>yang</w:t>
      </w:r>
      <w:r>
        <w:rPr>
          <w:spacing w:val="-12"/>
        </w:rPr>
        <w:t> </w:t>
      </w:r>
      <w:r>
        <w:rPr>
          <w:spacing w:val="-4"/>
        </w:rPr>
        <w:t>dipimpin </w:t>
      </w:r>
      <w:r>
        <w:rPr/>
        <w:t>oleh</w:t>
      </w:r>
      <w:r>
        <w:rPr>
          <w:spacing w:val="-17"/>
        </w:rPr>
        <w:t> </w:t>
      </w:r>
      <w:r>
        <w:rPr/>
        <w:t>seorang</w:t>
      </w:r>
      <w:r>
        <w:rPr>
          <w:spacing w:val="-16"/>
        </w:rPr>
        <w:t> </w:t>
      </w:r>
      <w:r>
        <w:rPr/>
        <w:t>gubernur</w:t>
      </w:r>
      <w:r>
        <w:rPr>
          <w:spacing w:val="-17"/>
        </w:rPr>
        <w:t> </w:t>
      </w:r>
      <w:r>
        <w:rPr/>
        <w:t>yang</w:t>
      </w:r>
      <w:r>
        <w:rPr>
          <w:spacing w:val="-16"/>
        </w:rPr>
        <w:t> </w:t>
      </w:r>
      <w:r>
        <w:rPr/>
        <w:t>dipilih</w:t>
      </w:r>
      <w:r>
        <w:rPr>
          <w:spacing w:val="-17"/>
        </w:rPr>
        <w:t> </w:t>
      </w:r>
      <w:r>
        <w:rPr/>
        <w:t>secara</w:t>
      </w:r>
      <w:r>
        <w:rPr>
          <w:spacing w:val="-16"/>
        </w:rPr>
        <w:t> </w:t>
      </w:r>
      <w:r>
        <w:rPr/>
        <w:t>langsung</w:t>
      </w:r>
      <w:r>
        <w:rPr>
          <w:spacing w:val="-17"/>
        </w:rPr>
        <w:t> </w:t>
      </w:r>
      <w:r>
        <w:rPr/>
        <w:t>oleh</w:t>
      </w:r>
      <w:r>
        <w:rPr>
          <w:spacing w:val="-16"/>
        </w:rPr>
        <w:t> </w:t>
      </w:r>
      <w:r>
        <w:rPr/>
        <w:t>warga</w:t>
      </w:r>
      <w:r>
        <w:rPr>
          <w:spacing w:val="-16"/>
        </w:rPr>
        <w:t> </w:t>
      </w:r>
      <w:r>
        <w:rPr/>
        <w:t>DKI</w:t>
      </w:r>
      <w:r>
        <w:rPr>
          <w:spacing w:val="-17"/>
        </w:rPr>
        <w:t> </w:t>
      </w:r>
      <w:r>
        <w:rPr/>
        <w:t>Jakarta,</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3"/>
      </w:pPr>
      <w:r>
        <w:rPr/>
        <w:t>Otorita ini dipimpin oleh seorang kepala Otorita yang merupakan kepala </w:t>
      </w:r>
      <w:r>
        <w:rPr>
          <w:spacing w:val="-2"/>
        </w:rPr>
        <w:t>pemerintahan</w:t>
      </w:r>
      <w:r>
        <w:rPr>
          <w:spacing w:val="-15"/>
        </w:rPr>
        <w:t> </w:t>
      </w:r>
      <w:r>
        <w:rPr>
          <w:spacing w:val="-2"/>
        </w:rPr>
        <w:t>daerah</w:t>
      </w:r>
      <w:r>
        <w:rPr>
          <w:spacing w:val="-13"/>
        </w:rPr>
        <w:t> </w:t>
      </w:r>
      <w:r>
        <w:rPr>
          <w:spacing w:val="-2"/>
        </w:rPr>
        <w:t>khusus</w:t>
      </w:r>
      <w:r>
        <w:rPr>
          <w:spacing w:val="-11"/>
        </w:rPr>
        <w:t> </w:t>
      </w:r>
      <w:r>
        <w:rPr>
          <w:spacing w:val="-2"/>
        </w:rPr>
        <w:t>IKN,</w:t>
      </w:r>
      <w:r>
        <w:rPr>
          <w:spacing w:val="-8"/>
        </w:rPr>
        <w:t> </w:t>
      </w:r>
      <w:r>
        <w:rPr>
          <w:spacing w:val="-2"/>
        </w:rPr>
        <w:t>dan</w:t>
      </w:r>
      <w:r>
        <w:rPr>
          <w:spacing w:val="-11"/>
        </w:rPr>
        <w:t> </w:t>
      </w:r>
      <w:r>
        <w:rPr>
          <w:spacing w:val="-2"/>
        </w:rPr>
        <w:t>juga</w:t>
      </w:r>
      <w:r>
        <w:rPr>
          <w:spacing w:val="-12"/>
        </w:rPr>
        <w:t> </w:t>
      </w:r>
      <w:r>
        <w:rPr>
          <w:spacing w:val="-2"/>
        </w:rPr>
        <w:t>ada</w:t>
      </w:r>
      <w:r>
        <w:rPr>
          <w:spacing w:val="-15"/>
        </w:rPr>
        <w:t> </w:t>
      </w:r>
      <w:r>
        <w:rPr>
          <w:spacing w:val="-2"/>
        </w:rPr>
        <w:t>seorang</w:t>
      </w:r>
      <w:r>
        <w:rPr>
          <w:spacing w:val="-12"/>
        </w:rPr>
        <w:t> </w:t>
      </w:r>
      <w:r>
        <w:rPr>
          <w:spacing w:val="-2"/>
        </w:rPr>
        <w:t>wakil</w:t>
      </w:r>
      <w:r>
        <w:rPr>
          <w:spacing w:val="-14"/>
        </w:rPr>
        <w:t> </w:t>
      </w:r>
      <w:r>
        <w:rPr>
          <w:spacing w:val="-2"/>
        </w:rPr>
        <w:t>kepala</w:t>
      </w:r>
      <w:r>
        <w:rPr>
          <w:spacing w:val="-12"/>
        </w:rPr>
        <w:t> </w:t>
      </w:r>
      <w:r>
        <w:rPr>
          <w:spacing w:val="-2"/>
        </w:rPr>
        <w:t>otorita. </w:t>
      </w:r>
      <w:r>
        <w:rPr/>
        <w:t>Kepala Otorita merupakan kepala Pemerintah Daerah Khusus Ibu Kota Nusantara yang berkedudukan setingkat menteri, ditunjuk, diangkat, dan </w:t>
      </w:r>
      <w:r>
        <w:rPr>
          <w:spacing w:val="-4"/>
        </w:rPr>
        <w:t>diberhentikan oleh Presiden setelah berkonsultasi dengan DPR. Implikasi dari </w:t>
      </w:r>
      <w:r>
        <w:rPr/>
        <w:t>ketentuan ini adalah bahwa apabila Otorita Ibukota Nusantara merupakan daerah otonom dengan kekhususan sebagaimana DKI Jakarta, maka </w:t>
      </w:r>
      <w:r>
        <w:rPr>
          <w:spacing w:val="-4"/>
        </w:rPr>
        <w:t>pengangkatan</w:t>
      </w:r>
      <w:r>
        <w:rPr>
          <w:spacing w:val="-13"/>
        </w:rPr>
        <w:t> </w:t>
      </w:r>
      <w:r>
        <w:rPr>
          <w:spacing w:val="-4"/>
        </w:rPr>
        <w:t>kepala</w:t>
      </w:r>
      <w:r>
        <w:rPr>
          <w:spacing w:val="-12"/>
        </w:rPr>
        <w:t> </w:t>
      </w:r>
      <w:r>
        <w:rPr>
          <w:spacing w:val="-4"/>
        </w:rPr>
        <w:t>Otorita</w:t>
      </w:r>
      <w:r>
        <w:rPr>
          <w:spacing w:val="-13"/>
        </w:rPr>
        <w:t> </w:t>
      </w:r>
      <w:r>
        <w:rPr>
          <w:spacing w:val="-4"/>
        </w:rPr>
        <w:t>tanpa</w:t>
      </w:r>
      <w:r>
        <w:rPr>
          <w:spacing w:val="-12"/>
        </w:rPr>
        <w:t> </w:t>
      </w:r>
      <w:r>
        <w:rPr>
          <w:spacing w:val="-4"/>
        </w:rPr>
        <w:t>melalui</w:t>
      </w:r>
      <w:r>
        <w:rPr>
          <w:spacing w:val="-13"/>
        </w:rPr>
        <w:t> </w:t>
      </w:r>
      <w:r>
        <w:rPr>
          <w:spacing w:val="-4"/>
        </w:rPr>
        <w:t>proses</w:t>
      </w:r>
      <w:r>
        <w:rPr>
          <w:spacing w:val="-12"/>
        </w:rPr>
        <w:t> </w:t>
      </w:r>
      <w:r>
        <w:rPr>
          <w:spacing w:val="-4"/>
        </w:rPr>
        <w:t>pemilu</w:t>
      </w:r>
      <w:r>
        <w:rPr>
          <w:spacing w:val="-13"/>
        </w:rPr>
        <w:t> </w:t>
      </w:r>
      <w:r>
        <w:rPr>
          <w:spacing w:val="-4"/>
        </w:rPr>
        <w:t>merupakan</w:t>
      </w:r>
      <w:r>
        <w:rPr>
          <w:spacing w:val="-12"/>
        </w:rPr>
        <w:t> </w:t>
      </w:r>
      <w:r>
        <w:rPr>
          <w:spacing w:val="-4"/>
        </w:rPr>
        <w:t>sebuah </w:t>
      </w:r>
      <w:r>
        <w:rPr>
          <w:spacing w:val="-6"/>
        </w:rPr>
        <w:t>kekhususan</w:t>
      </w:r>
      <w:r>
        <w:rPr>
          <w:spacing w:val="-11"/>
        </w:rPr>
        <w:t> </w:t>
      </w:r>
      <w:r>
        <w:rPr>
          <w:spacing w:val="-6"/>
        </w:rPr>
        <w:t>yang</w:t>
      </w:r>
      <w:r>
        <w:rPr>
          <w:spacing w:val="-10"/>
        </w:rPr>
        <w:t> </w:t>
      </w:r>
      <w:r>
        <w:rPr>
          <w:spacing w:val="-6"/>
        </w:rPr>
        <w:t>dapat</w:t>
      </w:r>
      <w:r>
        <w:rPr>
          <w:spacing w:val="-11"/>
        </w:rPr>
        <w:t> </w:t>
      </w:r>
      <w:r>
        <w:rPr>
          <w:spacing w:val="-6"/>
        </w:rPr>
        <w:t>dinilai</w:t>
      </w:r>
      <w:r>
        <w:rPr>
          <w:spacing w:val="-10"/>
        </w:rPr>
        <w:t> </w:t>
      </w:r>
      <w:r>
        <w:rPr>
          <w:spacing w:val="-6"/>
        </w:rPr>
        <w:t>mengurangi</w:t>
      </w:r>
      <w:r>
        <w:rPr>
          <w:spacing w:val="-11"/>
        </w:rPr>
        <w:t> </w:t>
      </w:r>
      <w:r>
        <w:rPr>
          <w:spacing w:val="-6"/>
        </w:rPr>
        <w:t>kadar demokrasi</w:t>
      </w:r>
      <w:r>
        <w:rPr>
          <w:spacing w:val="-9"/>
        </w:rPr>
        <w:t> </w:t>
      </w:r>
      <w:r>
        <w:rPr>
          <w:spacing w:val="-6"/>
        </w:rPr>
        <w:t>di</w:t>
      </w:r>
      <w:r>
        <w:rPr>
          <w:spacing w:val="-10"/>
        </w:rPr>
        <w:t> </w:t>
      </w:r>
      <w:r>
        <w:rPr>
          <w:spacing w:val="-6"/>
        </w:rPr>
        <w:t>wilayah</w:t>
      </w:r>
      <w:r>
        <w:rPr>
          <w:spacing w:val="-11"/>
        </w:rPr>
        <w:t> </w:t>
      </w:r>
      <w:r>
        <w:rPr>
          <w:spacing w:val="-6"/>
        </w:rPr>
        <w:t>Otorita. </w:t>
      </w:r>
      <w:r>
        <w:rPr/>
        <w:t>Pertanyaan lanjutannya tentu apakah memang tidak ada masyarakat yang tinggal</w:t>
      </w:r>
      <w:r>
        <w:rPr>
          <w:spacing w:val="-4"/>
        </w:rPr>
        <w:t> </w:t>
      </w:r>
      <w:r>
        <w:rPr/>
        <w:t>di</w:t>
      </w:r>
      <w:r>
        <w:rPr>
          <w:spacing w:val="-4"/>
        </w:rPr>
        <w:t> </w:t>
      </w:r>
      <w:r>
        <w:rPr/>
        <w:t>Kawasan</w:t>
      </w:r>
      <w:r>
        <w:rPr>
          <w:spacing w:val="-4"/>
        </w:rPr>
        <w:t> </w:t>
      </w:r>
      <w:r>
        <w:rPr/>
        <w:t>Otorita</w:t>
      </w:r>
      <w:r>
        <w:rPr>
          <w:spacing w:val="-1"/>
        </w:rPr>
        <w:t> </w:t>
      </w:r>
      <w:r>
        <w:rPr/>
        <w:t>Ibukota</w:t>
      </w:r>
      <w:r>
        <w:rPr>
          <w:spacing w:val="-4"/>
        </w:rPr>
        <w:t> </w:t>
      </w:r>
      <w:r>
        <w:rPr/>
        <w:t>Nusantara</w:t>
      </w:r>
      <w:r>
        <w:rPr>
          <w:spacing w:val="-1"/>
        </w:rPr>
        <w:t> </w:t>
      </w:r>
      <w:r>
        <w:rPr/>
        <w:t>tersebut?</w:t>
      </w:r>
      <w:r>
        <w:rPr>
          <w:spacing w:val="-4"/>
        </w:rPr>
        <w:t> </w:t>
      </w:r>
      <w:r>
        <w:rPr/>
        <w:t>Apakah</w:t>
      </w:r>
      <w:r>
        <w:rPr>
          <w:spacing w:val="-4"/>
        </w:rPr>
        <w:t> </w:t>
      </w:r>
      <w:r>
        <w:rPr/>
        <w:t>penduduk Otorita</w:t>
      </w:r>
      <w:r>
        <w:rPr>
          <w:spacing w:val="-17"/>
        </w:rPr>
        <w:t> </w:t>
      </w:r>
      <w:r>
        <w:rPr/>
        <w:t>Ibukota</w:t>
      </w:r>
      <w:r>
        <w:rPr>
          <w:spacing w:val="-16"/>
        </w:rPr>
        <w:t> </w:t>
      </w:r>
      <w:r>
        <w:rPr/>
        <w:t>Nusantara</w:t>
      </w:r>
      <w:r>
        <w:rPr>
          <w:spacing w:val="-16"/>
        </w:rPr>
        <w:t> </w:t>
      </w:r>
      <w:r>
        <w:rPr/>
        <w:t>hanyalah</w:t>
      </w:r>
      <w:r>
        <w:rPr>
          <w:spacing w:val="-14"/>
        </w:rPr>
        <w:t> </w:t>
      </w:r>
      <w:r>
        <w:rPr/>
        <w:t>para</w:t>
      </w:r>
      <w:r>
        <w:rPr>
          <w:spacing w:val="-15"/>
        </w:rPr>
        <w:t> </w:t>
      </w:r>
      <w:r>
        <w:rPr/>
        <w:t>pejabat</w:t>
      </w:r>
      <w:r>
        <w:rPr>
          <w:spacing w:val="-13"/>
        </w:rPr>
        <w:t> </w:t>
      </w:r>
      <w:r>
        <w:rPr/>
        <w:t>politik,</w:t>
      </w:r>
      <w:r>
        <w:rPr>
          <w:spacing w:val="-16"/>
        </w:rPr>
        <w:t> </w:t>
      </w:r>
      <w:r>
        <w:rPr/>
        <w:t>legislatif,</w:t>
      </w:r>
      <w:r>
        <w:rPr>
          <w:spacing w:val="-17"/>
        </w:rPr>
        <w:t> </w:t>
      </w:r>
      <w:r>
        <w:rPr/>
        <w:t>yudikatif, </w:t>
      </w:r>
      <w:r>
        <w:rPr>
          <w:spacing w:val="-2"/>
        </w:rPr>
        <w:t>beserta</w:t>
      </w:r>
      <w:r>
        <w:rPr>
          <w:spacing w:val="-12"/>
        </w:rPr>
        <w:t> </w:t>
      </w:r>
      <w:r>
        <w:rPr>
          <w:spacing w:val="-2"/>
        </w:rPr>
        <w:t>dengan</w:t>
      </w:r>
      <w:r>
        <w:rPr>
          <w:spacing w:val="-10"/>
        </w:rPr>
        <w:t> </w:t>
      </w:r>
      <w:r>
        <w:rPr>
          <w:spacing w:val="-2"/>
        </w:rPr>
        <w:t>seluruh</w:t>
      </w:r>
      <w:r>
        <w:rPr>
          <w:spacing w:val="-14"/>
        </w:rPr>
        <w:t> </w:t>
      </w:r>
      <w:r>
        <w:rPr>
          <w:spacing w:val="-2"/>
        </w:rPr>
        <w:t>unsur</w:t>
      </w:r>
      <w:r>
        <w:rPr>
          <w:spacing w:val="-15"/>
        </w:rPr>
        <w:t> </w:t>
      </w:r>
      <w:r>
        <w:rPr>
          <w:spacing w:val="-2"/>
        </w:rPr>
        <w:t>Aparatur</w:t>
      </w:r>
      <w:r>
        <w:rPr>
          <w:spacing w:val="-14"/>
        </w:rPr>
        <w:t> </w:t>
      </w:r>
      <w:r>
        <w:rPr>
          <w:spacing w:val="-2"/>
        </w:rPr>
        <w:t>Sipil</w:t>
      </w:r>
      <w:r>
        <w:rPr>
          <w:spacing w:val="-15"/>
        </w:rPr>
        <w:t> </w:t>
      </w:r>
      <w:r>
        <w:rPr>
          <w:spacing w:val="-2"/>
        </w:rPr>
        <w:t>Negara</w:t>
      </w:r>
      <w:r>
        <w:rPr>
          <w:spacing w:val="-9"/>
        </w:rPr>
        <w:t> </w:t>
      </w:r>
      <w:r>
        <w:rPr>
          <w:spacing w:val="-2"/>
        </w:rPr>
        <w:t>(ASN)</w:t>
      </w:r>
      <w:r>
        <w:rPr>
          <w:spacing w:val="-13"/>
        </w:rPr>
        <w:t> </w:t>
      </w:r>
      <w:r>
        <w:rPr>
          <w:spacing w:val="-2"/>
        </w:rPr>
        <w:t>yang</w:t>
      </w:r>
      <w:r>
        <w:rPr>
          <w:spacing w:val="-11"/>
        </w:rPr>
        <w:t> </w:t>
      </w:r>
      <w:r>
        <w:rPr>
          <w:spacing w:val="-2"/>
        </w:rPr>
        <w:t>mendukung </w:t>
      </w:r>
      <w:r>
        <w:rPr/>
        <w:t>kegiatannya?</w:t>
      </w:r>
      <w:r>
        <w:rPr>
          <w:spacing w:val="-17"/>
        </w:rPr>
        <w:t> </w:t>
      </w:r>
      <w:r>
        <w:rPr/>
        <w:t>Namun,</w:t>
      </w:r>
      <w:r>
        <w:rPr>
          <w:spacing w:val="-16"/>
        </w:rPr>
        <w:t> </w:t>
      </w:r>
      <w:r>
        <w:rPr/>
        <w:t>jika</w:t>
      </w:r>
      <w:r>
        <w:rPr>
          <w:spacing w:val="-17"/>
        </w:rPr>
        <w:t> </w:t>
      </w:r>
      <w:r>
        <w:rPr/>
        <w:t>penduduk</w:t>
      </w:r>
      <w:r>
        <w:rPr>
          <w:spacing w:val="-16"/>
        </w:rPr>
        <w:t> </w:t>
      </w:r>
      <w:r>
        <w:rPr/>
        <w:t>yang</w:t>
      </w:r>
      <w:r>
        <w:rPr>
          <w:spacing w:val="-17"/>
        </w:rPr>
        <w:t> </w:t>
      </w:r>
      <w:r>
        <w:rPr/>
        <w:t>sudah</w:t>
      </w:r>
      <w:r>
        <w:rPr>
          <w:spacing w:val="-16"/>
        </w:rPr>
        <w:t> </w:t>
      </w:r>
      <w:r>
        <w:rPr/>
        <w:t>tinggal</w:t>
      </w:r>
      <w:r>
        <w:rPr>
          <w:spacing w:val="-17"/>
        </w:rPr>
        <w:t> </w:t>
      </w:r>
      <w:r>
        <w:rPr/>
        <w:t>di</w:t>
      </w:r>
      <w:r>
        <w:rPr>
          <w:spacing w:val="-16"/>
        </w:rPr>
        <w:t> </w:t>
      </w:r>
      <w:r>
        <w:rPr/>
        <w:t>Kawasan</w:t>
      </w:r>
      <w:r>
        <w:rPr>
          <w:spacing w:val="-16"/>
        </w:rPr>
        <w:t> </w:t>
      </w:r>
      <w:r>
        <w:rPr/>
        <w:t>Otorita </w:t>
      </w:r>
      <w:r>
        <w:rPr>
          <w:spacing w:val="-2"/>
        </w:rPr>
        <w:t>Ibukota</w:t>
      </w:r>
      <w:r>
        <w:rPr>
          <w:spacing w:val="-15"/>
        </w:rPr>
        <w:t> </w:t>
      </w:r>
      <w:r>
        <w:rPr>
          <w:spacing w:val="-2"/>
        </w:rPr>
        <w:t>Nusantara</w:t>
      </w:r>
      <w:r>
        <w:rPr>
          <w:spacing w:val="-14"/>
        </w:rPr>
        <w:t> </w:t>
      </w:r>
      <w:r>
        <w:rPr>
          <w:spacing w:val="-2"/>
        </w:rPr>
        <w:t>merupakan</w:t>
      </w:r>
      <w:r>
        <w:rPr>
          <w:spacing w:val="-15"/>
        </w:rPr>
        <w:t> </w:t>
      </w:r>
      <w:r>
        <w:rPr>
          <w:spacing w:val="-2"/>
        </w:rPr>
        <w:t>penduduk</w:t>
      </w:r>
      <w:r>
        <w:rPr>
          <w:spacing w:val="-14"/>
        </w:rPr>
        <w:t> </w:t>
      </w:r>
      <w:r>
        <w:rPr>
          <w:spacing w:val="-2"/>
        </w:rPr>
        <w:t>Otorita,</w:t>
      </w:r>
      <w:r>
        <w:rPr>
          <w:spacing w:val="-12"/>
        </w:rPr>
        <w:t> </w:t>
      </w:r>
      <w:r>
        <w:rPr>
          <w:spacing w:val="-2"/>
        </w:rPr>
        <w:t>bagaimana</w:t>
      </w:r>
      <w:r>
        <w:rPr>
          <w:spacing w:val="-15"/>
        </w:rPr>
        <w:t> </w:t>
      </w:r>
      <w:r>
        <w:rPr>
          <w:spacing w:val="-2"/>
        </w:rPr>
        <w:t>hak</w:t>
      </w:r>
      <w:r>
        <w:rPr>
          <w:spacing w:val="-8"/>
        </w:rPr>
        <w:t> </w:t>
      </w:r>
      <w:r>
        <w:rPr>
          <w:spacing w:val="-2"/>
        </w:rPr>
        <w:t>demokrasi </w:t>
      </w:r>
      <w:r>
        <w:rPr/>
        <w:t>mereka? Apakah suara mereka cukup diwakili di tingkat nasional semata melalui kursi DPR RI?</w:t>
      </w:r>
    </w:p>
    <w:p>
      <w:pPr>
        <w:pStyle w:val="BodyText"/>
        <w:spacing w:line="360" w:lineRule="auto" w:before="3"/>
        <w:ind w:left="566" w:right="767" w:firstLine="710"/>
      </w:pPr>
      <w:r>
        <w:rPr/>
        <w:t>Menarik lagi bahwa dalam Pasal 4 ayat (2) menyebutkan bahwa pengalihan</w:t>
      </w:r>
      <w:r>
        <w:rPr>
          <w:spacing w:val="-7"/>
        </w:rPr>
        <w:t> </w:t>
      </w:r>
      <w:r>
        <w:rPr/>
        <w:t>kedudukan,</w:t>
      </w:r>
      <w:r>
        <w:rPr>
          <w:spacing w:val="-4"/>
        </w:rPr>
        <w:t> </w:t>
      </w:r>
      <w:r>
        <w:rPr/>
        <w:t>fungsi,</w:t>
      </w:r>
      <w:r>
        <w:rPr>
          <w:spacing w:val="-6"/>
        </w:rPr>
        <w:t> </w:t>
      </w:r>
      <w:r>
        <w:rPr/>
        <w:t>dan</w:t>
      </w:r>
      <w:r>
        <w:rPr>
          <w:spacing w:val="-7"/>
        </w:rPr>
        <w:t> </w:t>
      </w:r>
      <w:r>
        <w:rPr/>
        <w:t>peran</w:t>
      </w:r>
      <w:r>
        <w:rPr>
          <w:spacing w:val="-7"/>
        </w:rPr>
        <w:t> </w:t>
      </w:r>
      <w:r>
        <w:rPr/>
        <w:t>ibu</w:t>
      </w:r>
      <w:r>
        <w:rPr>
          <w:spacing w:val="-7"/>
        </w:rPr>
        <w:t> </w:t>
      </w:r>
      <w:r>
        <w:rPr/>
        <w:t>kota</w:t>
      </w:r>
      <w:r>
        <w:rPr>
          <w:spacing w:val="-8"/>
        </w:rPr>
        <w:t> </w:t>
      </w:r>
      <w:r>
        <w:rPr/>
        <w:t>negara</w:t>
      </w:r>
      <w:r>
        <w:rPr>
          <w:spacing w:val="-7"/>
        </w:rPr>
        <w:t> </w:t>
      </w:r>
      <w:r>
        <w:rPr/>
        <w:t>dari</w:t>
      </w:r>
      <w:r>
        <w:rPr>
          <w:spacing w:val="-6"/>
        </w:rPr>
        <w:t> </w:t>
      </w:r>
      <w:r>
        <w:rPr/>
        <w:t>Provinsi</w:t>
      </w:r>
      <w:r>
        <w:rPr>
          <w:spacing w:val="-6"/>
        </w:rPr>
        <w:t> </w:t>
      </w:r>
      <w:r>
        <w:rPr/>
        <w:t>DKI Jakarta ke IKN ditetapkan dengan Keputusan Presiden. Otorita IKN </w:t>
      </w:r>
      <w:r>
        <w:rPr>
          <w:spacing w:val="-6"/>
        </w:rPr>
        <w:t>bertanggung</w:t>
      </w:r>
      <w:r>
        <w:rPr>
          <w:spacing w:val="-11"/>
        </w:rPr>
        <w:t> </w:t>
      </w:r>
      <w:r>
        <w:rPr>
          <w:spacing w:val="-6"/>
        </w:rPr>
        <w:t>jawab</w:t>
      </w:r>
      <w:r>
        <w:rPr>
          <w:spacing w:val="-10"/>
        </w:rPr>
        <w:t> </w:t>
      </w:r>
      <w:r>
        <w:rPr>
          <w:spacing w:val="-6"/>
        </w:rPr>
        <w:t>pada</w:t>
      </w:r>
      <w:r>
        <w:rPr>
          <w:spacing w:val="-11"/>
        </w:rPr>
        <w:t> </w:t>
      </w:r>
      <w:r>
        <w:rPr>
          <w:spacing w:val="-6"/>
        </w:rPr>
        <w:t>kegiatan</w:t>
      </w:r>
      <w:r>
        <w:rPr>
          <w:spacing w:val="-10"/>
        </w:rPr>
        <w:t> </w:t>
      </w:r>
      <w:r>
        <w:rPr>
          <w:spacing w:val="-6"/>
        </w:rPr>
        <w:t>persiapan,</w:t>
      </w:r>
      <w:r>
        <w:rPr>
          <w:spacing w:val="-11"/>
        </w:rPr>
        <w:t> </w:t>
      </w:r>
      <w:r>
        <w:rPr>
          <w:spacing w:val="-6"/>
        </w:rPr>
        <w:t>pembangunan,</w:t>
      </w:r>
      <w:r>
        <w:rPr>
          <w:spacing w:val="-10"/>
        </w:rPr>
        <w:t> </w:t>
      </w:r>
      <w:r>
        <w:rPr>
          <w:spacing w:val="-6"/>
        </w:rPr>
        <w:t>dan</w:t>
      </w:r>
      <w:r>
        <w:rPr>
          <w:spacing w:val="-11"/>
        </w:rPr>
        <w:t> </w:t>
      </w:r>
      <w:r>
        <w:rPr>
          <w:spacing w:val="-6"/>
        </w:rPr>
        <w:t>pemindahan </w:t>
      </w:r>
      <w:r>
        <w:rPr/>
        <w:t>ibu kota negara, serta penyelenggara Pemerintahan Daerah Khusus IKN. Artinya,</w:t>
      </w:r>
      <w:r>
        <w:rPr>
          <w:spacing w:val="-16"/>
        </w:rPr>
        <w:t> </w:t>
      </w:r>
      <w:r>
        <w:rPr/>
        <w:t>berbeda</w:t>
      </w:r>
      <w:r>
        <w:rPr>
          <w:spacing w:val="-17"/>
        </w:rPr>
        <w:t> </w:t>
      </w:r>
      <w:r>
        <w:rPr/>
        <w:t>dengan</w:t>
      </w:r>
      <w:r>
        <w:rPr>
          <w:spacing w:val="-15"/>
        </w:rPr>
        <w:t> </w:t>
      </w:r>
      <w:r>
        <w:rPr/>
        <w:t>Badan</w:t>
      </w:r>
      <w:r>
        <w:rPr>
          <w:spacing w:val="-17"/>
        </w:rPr>
        <w:t> </w:t>
      </w:r>
      <w:r>
        <w:rPr/>
        <w:t>Otorita</w:t>
      </w:r>
      <w:r>
        <w:rPr>
          <w:spacing w:val="-16"/>
        </w:rPr>
        <w:t> </w:t>
      </w:r>
      <w:r>
        <w:rPr/>
        <w:t>sebagaimana</w:t>
      </w:r>
      <w:r>
        <w:rPr>
          <w:spacing w:val="-17"/>
        </w:rPr>
        <w:t> </w:t>
      </w:r>
      <w:r>
        <w:rPr/>
        <w:t>di</w:t>
      </w:r>
      <w:r>
        <w:rPr>
          <w:spacing w:val="-15"/>
        </w:rPr>
        <w:t> </w:t>
      </w:r>
      <w:r>
        <w:rPr/>
        <w:t>Batam</w:t>
      </w:r>
      <w:r>
        <w:rPr>
          <w:spacing w:val="-15"/>
        </w:rPr>
        <w:t> </w:t>
      </w:r>
      <w:r>
        <w:rPr/>
        <w:t>atau</w:t>
      </w:r>
      <w:r>
        <w:rPr>
          <w:spacing w:val="-12"/>
        </w:rPr>
        <w:t> </w:t>
      </w:r>
      <w:r>
        <w:rPr/>
        <w:t>Labuan </w:t>
      </w:r>
      <w:r>
        <w:rPr>
          <w:spacing w:val="-4"/>
        </w:rPr>
        <w:t>Bajo,</w:t>
      </w:r>
      <w:r>
        <w:rPr>
          <w:spacing w:val="-9"/>
        </w:rPr>
        <w:t> </w:t>
      </w:r>
      <w:r>
        <w:rPr>
          <w:spacing w:val="-4"/>
        </w:rPr>
        <w:t>Badan</w:t>
      </w:r>
      <w:r>
        <w:rPr>
          <w:spacing w:val="-5"/>
        </w:rPr>
        <w:t> </w:t>
      </w:r>
      <w:r>
        <w:rPr>
          <w:spacing w:val="-4"/>
        </w:rPr>
        <w:t>Otorita</w:t>
      </w:r>
      <w:r>
        <w:rPr>
          <w:spacing w:val="-11"/>
        </w:rPr>
        <w:t> </w:t>
      </w:r>
      <w:r>
        <w:rPr>
          <w:spacing w:val="-4"/>
        </w:rPr>
        <w:t>menjalankan</w:t>
      </w:r>
      <w:r>
        <w:rPr>
          <w:spacing w:val="-5"/>
        </w:rPr>
        <w:t> </w:t>
      </w:r>
      <w:r>
        <w:rPr>
          <w:spacing w:val="-4"/>
        </w:rPr>
        <w:t>tugas</w:t>
      </w:r>
      <w:r>
        <w:rPr>
          <w:spacing w:val="-6"/>
        </w:rPr>
        <w:t> </w:t>
      </w:r>
      <w:r>
        <w:rPr>
          <w:spacing w:val="-4"/>
        </w:rPr>
        <w:t>dan</w:t>
      </w:r>
      <w:r>
        <w:rPr>
          <w:spacing w:val="-11"/>
        </w:rPr>
        <w:t> </w:t>
      </w:r>
      <w:r>
        <w:rPr>
          <w:spacing w:val="-4"/>
        </w:rPr>
        <w:t>fungsi</w:t>
      </w:r>
      <w:r>
        <w:rPr>
          <w:spacing w:val="-5"/>
        </w:rPr>
        <w:t> </w:t>
      </w:r>
      <w:r>
        <w:rPr>
          <w:spacing w:val="-4"/>
        </w:rPr>
        <w:t>sebagaimana</w:t>
      </w:r>
      <w:r>
        <w:rPr>
          <w:spacing w:val="-6"/>
        </w:rPr>
        <w:t> </w:t>
      </w:r>
      <w:r>
        <w:rPr>
          <w:spacing w:val="-4"/>
        </w:rPr>
        <w:t>kewenangan </w:t>
      </w:r>
      <w:r>
        <w:rPr/>
        <w:t>yang diberikan oleh Menteri dan bertanggung jawab kepada Menteri itu sendiri. Namun, Otorita IKN tidak hanya melakukan kegiatan persiapan, pembangunan, dan pemindahan ibu kota negara, Otorita IKN juga </w:t>
      </w:r>
      <w:r>
        <w:rPr>
          <w:spacing w:val="-2"/>
        </w:rPr>
        <w:t>menyelenggarakan</w:t>
      </w:r>
      <w:r>
        <w:rPr>
          <w:spacing w:val="-13"/>
        </w:rPr>
        <w:t> </w:t>
      </w:r>
      <w:r>
        <w:rPr>
          <w:spacing w:val="-2"/>
        </w:rPr>
        <w:t>pemerintahan</w:t>
      </w:r>
      <w:r>
        <w:rPr>
          <w:spacing w:val="-17"/>
        </w:rPr>
        <w:t> </w:t>
      </w:r>
      <w:r>
        <w:rPr>
          <w:spacing w:val="-2"/>
        </w:rPr>
        <w:t>sebagaimana</w:t>
      </w:r>
      <w:r>
        <w:rPr>
          <w:spacing w:val="-18"/>
        </w:rPr>
        <w:t> </w:t>
      </w:r>
      <w:r>
        <w:rPr>
          <w:spacing w:val="-2"/>
        </w:rPr>
        <w:t>terjadi</w:t>
      </w:r>
      <w:r>
        <w:rPr>
          <w:spacing w:val="-12"/>
        </w:rPr>
        <w:t> </w:t>
      </w:r>
      <w:r>
        <w:rPr>
          <w:spacing w:val="-2"/>
        </w:rPr>
        <w:t>pada</w:t>
      </w:r>
      <w:r>
        <w:rPr>
          <w:spacing w:val="-13"/>
        </w:rPr>
        <w:t> </w:t>
      </w:r>
      <w:r>
        <w:rPr>
          <w:spacing w:val="-2"/>
        </w:rPr>
        <w:t>daerah</w:t>
      </w:r>
      <w:r>
        <w:rPr>
          <w:spacing w:val="-18"/>
        </w:rPr>
        <w:t> </w:t>
      </w:r>
      <w:r>
        <w:rPr>
          <w:spacing w:val="-2"/>
        </w:rPr>
        <w:t>otonom</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7"/>
      </w:pPr>
      <w:r>
        <w:rPr>
          <w:spacing w:val="-4"/>
        </w:rPr>
        <w:t>lainnya,</w:t>
      </w:r>
      <w:r>
        <w:rPr>
          <w:spacing w:val="-7"/>
        </w:rPr>
        <w:t> </w:t>
      </w:r>
      <w:r>
        <w:rPr>
          <w:spacing w:val="-4"/>
        </w:rPr>
        <w:t>baik</w:t>
      </w:r>
      <w:r>
        <w:rPr>
          <w:spacing w:val="-7"/>
        </w:rPr>
        <w:t> </w:t>
      </w:r>
      <w:r>
        <w:rPr>
          <w:spacing w:val="-4"/>
        </w:rPr>
        <w:t>di</w:t>
      </w:r>
      <w:r>
        <w:rPr>
          <w:spacing w:val="-8"/>
        </w:rPr>
        <w:t> </w:t>
      </w:r>
      <w:r>
        <w:rPr>
          <w:spacing w:val="-4"/>
        </w:rPr>
        <w:t>provinsi</w:t>
      </w:r>
      <w:r>
        <w:rPr>
          <w:spacing w:val="-8"/>
        </w:rPr>
        <w:t> </w:t>
      </w:r>
      <w:r>
        <w:rPr>
          <w:spacing w:val="-4"/>
        </w:rPr>
        <w:t>maupun</w:t>
      </w:r>
      <w:r>
        <w:rPr>
          <w:spacing w:val="-9"/>
        </w:rPr>
        <w:t> </w:t>
      </w:r>
      <w:r>
        <w:rPr>
          <w:spacing w:val="-4"/>
        </w:rPr>
        <w:t>kabupaten/kota.</w:t>
      </w:r>
      <w:r>
        <w:rPr>
          <w:spacing w:val="-12"/>
        </w:rPr>
        <w:t> </w:t>
      </w:r>
      <w:r>
        <w:rPr>
          <w:spacing w:val="-4"/>
        </w:rPr>
        <w:t>Namun,</w:t>
      </w:r>
      <w:r>
        <w:rPr>
          <w:spacing w:val="-6"/>
        </w:rPr>
        <w:t> </w:t>
      </w:r>
      <w:r>
        <w:rPr>
          <w:spacing w:val="-4"/>
        </w:rPr>
        <w:t>dari</w:t>
      </w:r>
      <w:r>
        <w:rPr>
          <w:spacing w:val="-8"/>
        </w:rPr>
        <w:t> </w:t>
      </w:r>
      <w:r>
        <w:rPr>
          <w:spacing w:val="-4"/>
        </w:rPr>
        <w:t>sisi</w:t>
      </w:r>
      <w:r>
        <w:rPr>
          <w:spacing w:val="-8"/>
        </w:rPr>
        <w:t> </w:t>
      </w:r>
      <w:r>
        <w:rPr>
          <w:spacing w:val="-4"/>
        </w:rPr>
        <w:t>demokrasi, </w:t>
      </w:r>
      <w:r>
        <w:rPr>
          <w:spacing w:val="-6"/>
        </w:rPr>
        <w:t>kepala</w:t>
      </w:r>
      <w:r>
        <w:rPr>
          <w:spacing w:val="-11"/>
        </w:rPr>
        <w:t> </w:t>
      </w:r>
      <w:r>
        <w:rPr>
          <w:spacing w:val="-6"/>
        </w:rPr>
        <w:t>dan</w:t>
      </w:r>
      <w:r>
        <w:rPr>
          <w:spacing w:val="-10"/>
        </w:rPr>
        <w:t> </w:t>
      </w:r>
      <w:r>
        <w:rPr>
          <w:spacing w:val="-6"/>
        </w:rPr>
        <w:t>wakil</w:t>
      </w:r>
      <w:r>
        <w:rPr>
          <w:spacing w:val="-11"/>
        </w:rPr>
        <w:t> </w:t>
      </w:r>
      <w:r>
        <w:rPr>
          <w:spacing w:val="-6"/>
        </w:rPr>
        <w:t>kepala</w:t>
      </w:r>
      <w:r>
        <w:rPr>
          <w:spacing w:val="-10"/>
        </w:rPr>
        <w:t> </w:t>
      </w:r>
      <w:r>
        <w:rPr>
          <w:spacing w:val="-6"/>
        </w:rPr>
        <w:t>Otorita</w:t>
      </w:r>
      <w:r>
        <w:rPr>
          <w:spacing w:val="-11"/>
        </w:rPr>
        <w:t> </w:t>
      </w:r>
      <w:r>
        <w:rPr>
          <w:spacing w:val="-6"/>
        </w:rPr>
        <w:t>IKN</w:t>
      </w:r>
      <w:r>
        <w:rPr>
          <w:spacing w:val="-10"/>
        </w:rPr>
        <w:t> </w:t>
      </w:r>
      <w:r>
        <w:rPr>
          <w:spacing w:val="-6"/>
        </w:rPr>
        <w:t>yang</w:t>
      </w:r>
      <w:r>
        <w:rPr>
          <w:spacing w:val="-11"/>
        </w:rPr>
        <w:t> </w:t>
      </w:r>
      <w:r>
        <w:rPr>
          <w:spacing w:val="-6"/>
        </w:rPr>
        <w:t>ditunjuk,</w:t>
      </w:r>
      <w:r>
        <w:rPr>
          <w:spacing w:val="-10"/>
        </w:rPr>
        <w:t> </w:t>
      </w:r>
      <w:r>
        <w:rPr>
          <w:spacing w:val="-6"/>
        </w:rPr>
        <w:t>diangkat,</w:t>
      </w:r>
      <w:r>
        <w:rPr>
          <w:spacing w:val="-10"/>
        </w:rPr>
        <w:t> </w:t>
      </w:r>
      <w:r>
        <w:rPr>
          <w:spacing w:val="-6"/>
        </w:rPr>
        <w:t>dan</w:t>
      </w:r>
      <w:r>
        <w:rPr>
          <w:spacing w:val="-11"/>
        </w:rPr>
        <w:t> </w:t>
      </w:r>
      <w:r>
        <w:rPr>
          <w:spacing w:val="-6"/>
        </w:rPr>
        <w:t>diberhentikan </w:t>
      </w:r>
      <w:r>
        <w:rPr/>
        <w:t>oleh Presiden telah mengurangi prinsip demokrasi dalam menjalankan pemerintahan di Otorita IKN. Terkait dengan demokrasi, di IKN juga tidak terdapat</w:t>
      </w:r>
      <w:r>
        <w:rPr>
          <w:spacing w:val="-7"/>
        </w:rPr>
        <w:t> </w:t>
      </w:r>
      <w:r>
        <w:rPr/>
        <w:t>lembaga</w:t>
      </w:r>
      <w:r>
        <w:rPr>
          <w:spacing w:val="-10"/>
        </w:rPr>
        <w:t> </w:t>
      </w:r>
      <w:r>
        <w:rPr/>
        <w:t>perwakilan</w:t>
      </w:r>
      <w:r>
        <w:rPr>
          <w:spacing w:val="-9"/>
        </w:rPr>
        <w:t> </w:t>
      </w:r>
      <w:r>
        <w:rPr/>
        <w:t>daerah</w:t>
      </w:r>
      <w:r>
        <w:rPr>
          <w:spacing w:val="-9"/>
        </w:rPr>
        <w:t> </w:t>
      </w:r>
      <w:r>
        <w:rPr/>
        <w:t>sebagaimana</w:t>
      </w:r>
      <w:r>
        <w:rPr>
          <w:spacing w:val="-9"/>
        </w:rPr>
        <w:t> </w:t>
      </w:r>
      <w:r>
        <w:rPr/>
        <w:t>terdapat</w:t>
      </w:r>
      <w:r>
        <w:rPr>
          <w:spacing w:val="-7"/>
        </w:rPr>
        <w:t> </w:t>
      </w:r>
      <w:r>
        <w:rPr/>
        <w:t>di</w:t>
      </w:r>
      <w:r>
        <w:rPr>
          <w:spacing w:val="-8"/>
        </w:rPr>
        <w:t> </w:t>
      </w:r>
      <w:r>
        <w:rPr/>
        <w:t>Provinsi</w:t>
      </w:r>
      <w:r>
        <w:rPr>
          <w:spacing w:val="-8"/>
        </w:rPr>
        <w:t> </w:t>
      </w:r>
      <w:r>
        <w:rPr/>
        <w:t>DKI Jakarta sebelumnya.</w:t>
      </w:r>
    </w:p>
    <w:p>
      <w:pPr>
        <w:pStyle w:val="BodyText"/>
        <w:spacing w:line="360" w:lineRule="auto" w:before="3"/>
        <w:ind w:left="566" w:right="766" w:firstLine="710"/>
      </w:pPr>
      <w:r>
        <w:rPr>
          <w:spacing w:val="-6"/>
        </w:rPr>
        <w:t>Perwakilan</w:t>
      </w:r>
      <w:r>
        <w:rPr>
          <w:spacing w:val="-7"/>
        </w:rPr>
        <w:t> </w:t>
      </w:r>
      <w:r>
        <w:rPr>
          <w:spacing w:val="-6"/>
        </w:rPr>
        <w:t>diberikan</w:t>
      </w:r>
      <w:r>
        <w:rPr>
          <w:spacing w:val="-11"/>
        </w:rPr>
        <w:t> </w:t>
      </w:r>
      <w:r>
        <w:rPr>
          <w:spacing w:val="-6"/>
        </w:rPr>
        <w:t>hanya untuk</w:t>
      </w:r>
      <w:r>
        <w:rPr>
          <w:spacing w:val="-10"/>
        </w:rPr>
        <w:t> </w:t>
      </w:r>
      <w:r>
        <w:rPr>
          <w:spacing w:val="-6"/>
        </w:rPr>
        <w:t>kursi</w:t>
      </w:r>
      <w:r>
        <w:rPr>
          <w:spacing w:val="-10"/>
        </w:rPr>
        <w:t> </w:t>
      </w:r>
      <w:r>
        <w:rPr>
          <w:spacing w:val="-6"/>
        </w:rPr>
        <w:t>DPR dan</w:t>
      </w:r>
      <w:r>
        <w:rPr>
          <w:spacing w:val="-7"/>
        </w:rPr>
        <w:t> </w:t>
      </w:r>
      <w:r>
        <w:rPr>
          <w:spacing w:val="-6"/>
        </w:rPr>
        <w:t>DPD.</w:t>
      </w:r>
      <w:r>
        <w:rPr>
          <w:spacing w:val="-9"/>
        </w:rPr>
        <w:t> </w:t>
      </w:r>
      <w:r>
        <w:rPr>
          <w:spacing w:val="-6"/>
        </w:rPr>
        <w:t>Tentu</w:t>
      </w:r>
      <w:r>
        <w:rPr>
          <w:spacing w:val="-7"/>
        </w:rPr>
        <w:t> </w:t>
      </w:r>
      <w:r>
        <w:rPr>
          <w:spacing w:val="-6"/>
        </w:rPr>
        <w:t>hal</w:t>
      </w:r>
      <w:r>
        <w:rPr>
          <w:spacing w:val="-11"/>
        </w:rPr>
        <w:t> </w:t>
      </w:r>
      <w:r>
        <w:rPr>
          <w:spacing w:val="-6"/>
        </w:rPr>
        <w:t>ini</w:t>
      </w:r>
      <w:r>
        <w:rPr>
          <w:spacing w:val="-10"/>
        </w:rPr>
        <w:t> </w:t>
      </w:r>
      <w:r>
        <w:rPr>
          <w:spacing w:val="-6"/>
        </w:rPr>
        <w:t>juga </w:t>
      </w:r>
      <w:r>
        <w:rPr/>
        <w:t>menimbulkan pertanyaan dari sisi perkembangan demokrasi di Indonesia. Dikaitkan dengan penanganan urusan, terdapat perbedaan urusan yang </w:t>
      </w:r>
      <w:r>
        <w:rPr>
          <w:spacing w:val="-4"/>
        </w:rPr>
        <w:t>diberikan</w:t>
      </w:r>
      <w:r>
        <w:rPr>
          <w:spacing w:val="-13"/>
        </w:rPr>
        <w:t> </w:t>
      </w:r>
      <w:r>
        <w:rPr>
          <w:spacing w:val="-4"/>
        </w:rPr>
        <w:t>kepada</w:t>
      </w:r>
      <w:r>
        <w:rPr>
          <w:spacing w:val="-12"/>
        </w:rPr>
        <w:t> </w:t>
      </w:r>
      <w:r>
        <w:rPr>
          <w:spacing w:val="-4"/>
        </w:rPr>
        <w:t>DKI</w:t>
      </w:r>
      <w:r>
        <w:rPr>
          <w:spacing w:val="-13"/>
        </w:rPr>
        <w:t> </w:t>
      </w:r>
      <w:r>
        <w:rPr>
          <w:spacing w:val="-4"/>
        </w:rPr>
        <w:t>Jakarta</w:t>
      </w:r>
      <w:r>
        <w:rPr>
          <w:spacing w:val="-12"/>
        </w:rPr>
        <w:t> </w:t>
      </w:r>
      <w:r>
        <w:rPr>
          <w:spacing w:val="-4"/>
        </w:rPr>
        <w:t>dengan</w:t>
      </w:r>
      <w:r>
        <w:rPr>
          <w:spacing w:val="-13"/>
        </w:rPr>
        <w:t> </w:t>
      </w:r>
      <w:r>
        <w:rPr>
          <w:spacing w:val="-4"/>
        </w:rPr>
        <w:t>Otorita</w:t>
      </w:r>
      <w:r>
        <w:rPr>
          <w:spacing w:val="-12"/>
        </w:rPr>
        <w:t> </w:t>
      </w:r>
      <w:r>
        <w:rPr>
          <w:spacing w:val="-4"/>
        </w:rPr>
        <w:t>IKN.</w:t>
      </w:r>
      <w:r>
        <w:rPr>
          <w:spacing w:val="-13"/>
        </w:rPr>
        <w:t> </w:t>
      </w:r>
      <w:r>
        <w:rPr>
          <w:spacing w:val="-4"/>
        </w:rPr>
        <w:t>Hal</w:t>
      </w:r>
      <w:r>
        <w:rPr>
          <w:spacing w:val="-11"/>
        </w:rPr>
        <w:t> </w:t>
      </w:r>
      <w:r>
        <w:rPr>
          <w:spacing w:val="-4"/>
        </w:rPr>
        <w:t>ini</w:t>
      </w:r>
      <w:r>
        <w:rPr>
          <w:spacing w:val="-12"/>
        </w:rPr>
        <w:t> </w:t>
      </w:r>
      <w:r>
        <w:rPr>
          <w:spacing w:val="-4"/>
        </w:rPr>
        <w:t>juga</w:t>
      </w:r>
      <w:r>
        <w:rPr>
          <w:spacing w:val="-8"/>
        </w:rPr>
        <w:t> </w:t>
      </w:r>
      <w:r>
        <w:rPr>
          <w:spacing w:val="-4"/>
        </w:rPr>
        <w:t>akan</w:t>
      </w:r>
      <w:r>
        <w:rPr>
          <w:spacing w:val="-13"/>
        </w:rPr>
        <w:t> </w:t>
      </w:r>
      <w:r>
        <w:rPr>
          <w:spacing w:val="-4"/>
        </w:rPr>
        <w:t>membawa </w:t>
      </w:r>
      <w:r>
        <w:rPr/>
        <w:t>dampak kepada perbedaan struktur perangkat daerah yang dimiliki oleh Pemerintah Provinsi DKI Jakarta dan Pemerintah DKI Nusantara. Jika pada Pemerintah Provinsi DKI Jakarta terdiri atas sekretariat daerah, sekretariat DPRD, dinas daerah, lembaga teknis daerah, kota administrasi/kabupaten administrasi, kecamatan, dan kelurahan, maka perangkat Pemerintah DKI Nusantara</w:t>
      </w:r>
      <w:r>
        <w:rPr>
          <w:spacing w:val="-17"/>
        </w:rPr>
        <w:t> </w:t>
      </w:r>
      <w:r>
        <w:rPr/>
        <w:t>terdiri</w:t>
      </w:r>
      <w:r>
        <w:rPr>
          <w:spacing w:val="-16"/>
        </w:rPr>
        <w:t> </w:t>
      </w:r>
      <w:r>
        <w:rPr/>
        <w:t>atas</w:t>
      </w:r>
      <w:r>
        <w:rPr>
          <w:spacing w:val="-17"/>
        </w:rPr>
        <w:t> </w:t>
      </w:r>
      <w:r>
        <w:rPr/>
        <w:t>Sekretariat</w:t>
      </w:r>
      <w:r>
        <w:rPr>
          <w:spacing w:val="-16"/>
        </w:rPr>
        <w:t> </w:t>
      </w:r>
      <w:r>
        <w:rPr/>
        <w:t>Otorita</w:t>
      </w:r>
      <w:r>
        <w:rPr>
          <w:spacing w:val="-17"/>
        </w:rPr>
        <w:t> </w:t>
      </w:r>
      <w:r>
        <w:rPr/>
        <w:t>Ibu</w:t>
      </w:r>
      <w:r>
        <w:rPr>
          <w:spacing w:val="-16"/>
        </w:rPr>
        <w:t> </w:t>
      </w:r>
      <w:r>
        <w:rPr/>
        <w:t>Kota</w:t>
      </w:r>
      <w:r>
        <w:rPr>
          <w:spacing w:val="-16"/>
        </w:rPr>
        <w:t> </w:t>
      </w:r>
      <w:r>
        <w:rPr/>
        <w:t>Nusantara;</w:t>
      </w:r>
      <w:r>
        <w:rPr>
          <w:spacing w:val="-15"/>
        </w:rPr>
        <w:t> </w:t>
      </w:r>
      <w:r>
        <w:rPr/>
        <w:t>Deputi</w:t>
      </w:r>
      <w:r>
        <w:rPr>
          <w:spacing w:val="-16"/>
        </w:rPr>
        <w:t> </w:t>
      </w:r>
      <w:r>
        <w:rPr/>
        <w:t>Kepala Otorita Ibu Kota Nusantara; dan Unit Satuan Kerja Hukum dan Kepatuhan Otorita Ibu Kota Nusantara. Perbedaan ini tentu akan membawa dampak terhadap jalannya pemerintahan.</w:t>
      </w:r>
    </w:p>
    <w:p>
      <w:pPr>
        <w:pStyle w:val="BodyText"/>
        <w:spacing w:line="360" w:lineRule="auto" w:before="2"/>
        <w:ind w:left="566" w:right="762" w:firstLine="710"/>
      </w:pPr>
      <w:r>
        <w:rPr/>
        <w:t>Namun,</w:t>
      </w:r>
      <w:r>
        <w:rPr>
          <w:spacing w:val="-3"/>
        </w:rPr>
        <w:t> </w:t>
      </w:r>
      <w:r>
        <w:rPr/>
        <w:t>di</w:t>
      </w:r>
      <w:r>
        <w:rPr>
          <w:spacing w:val="-4"/>
        </w:rPr>
        <w:t> </w:t>
      </w:r>
      <w:r>
        <w:rPr/>
        <w:t>luar</w:t>
      </w:r>
      <w:r>
        <w:rPr>
          <w:spacing w:val="-5"/>
        </w:rPr>
        <w:t> </w:t>
      </w:r>
      <w:r>
        <w:rPr/>
        <w:t>ini</w:t>
      </w:r>
      <w:r>
        <w:rPr>
          <w:spacing w:val="-5"/>
        </w:rPr>
        <w:t> </w:t>
      </w:r>
      <w:r>
        <w:rPr/>
        <w:t>masih</w:t>
      </w:r>
      <w:r>
        <w:rPr>
          <w:spacing w:val="-5"/>
        </w:rPr>
        <w:t> </w:t>
      </w:r>
      <w:r>
        <w:rPr/>
        <w:t>ada</w:t>
      </w:r>
      <w:r>
        <w:rPr>
          <w:spacing w:val="-5"/>
        </w:rPr>
        <w:t> </w:t>
      </w:r>
      <w:r>
        <w:rPr/>
        <w:t>kemungkinan</w:t>
      </w:r>
      <w:r>
        <w:rPr>
          <w:spacing w:val="-5"/>
        </w:rPr>
        <w:t> </w:t>
      </w:r>
      <w:r>
        <w:rPr/>
        <w:t>konflik</w:t>
      </w:r>
      <w:r>
        <w:rPr>
          <w:spacing w:val="-2"/>
        </w:rPr>
        <w:t> </w:t>
      </w:r>
      <w:r>
        <w:rPr/>
        <w:t>yang</w:t>
      </w:r>
      <w:r>
        <w:rPr>
          <w:spacing w:val="-5"/>
        </w:rPr>
        <w:t> </w:t>
      </w:r>
      <w:r>
        <w:rPr/>
        <w:t>akan</w:t>
      </w:r>
      <w:r>
        <w:rPr>
          <w:spacing w:val="-5"/>
        </w:rPr>
        <w:t> </w:t>
      </w:r>
      <w:r>
        <w:rPr/>
        <w:t>terjadi </w:t>
      </w:r>
      <w:r>
        <w:rPr>
          <w:spacing w:val="-2"/>
        </w:rPr>
        <w:t>dengan</w:t>
      </w:r>
      <w:r>
        <w:rPr>
          <w:spacing w:val="-15"/>
        </w:rPr>
        <w:t> </w:t>
      </w:r>
      <w:r>
        <w:rPr>
          <w:spacing w:val="-2"/>
        </w:rPr>
        <w:t>sistem</w:t>
      </w:r>
      <w:r>
        <w:rPr>
          <w:spacing w:val="-14"/>
        </w:rPr>
        <w:t> </w:t>
      </w:r>
      <w:r>
        <w:rPr>
          <w:spacing w:val="-2"/>
        </w:rPr>
        <w:t>pemerintahan</w:t>
      </w:r>
      <w:r>
        <w:rPr>
          <w:spacing w:val="-15"/>
        </w:rPr>
        <w:t> </w:t>
      </w:r>
      <w:r>
        <w:rPr>
          <w:spacing w:val="-2"/>
        </w:rPr>
        <w:t>Otorita</w:t>
      </w:r>
      <w:r>
        <w:rPr>
          <w:spacing w:val="-14"/>
        </w:rPr>
        <w:t> </w:t>
      </w:r>
      <w:r>
        <w:rPr>
          <w:spacing w:val="-2"/>
        </w:rPr>
        <w:t>IKN</w:t>
      </w:r>
      <w:r>
        <w:rPr>
          <w:spacing w:val="-15"/>
        </w:rPr>
        <w:t> </w:t>
      </w:r>
      <w:r>
        <w:rPr>
          <w:spacing w:val="-2"/>
        </w:rPr>
        <w:t>saat</w:t>
      </w:r>
      <w:r>
        <w:rPr>
          <w:spacing w:val="-14"/>
        </w:rPr>
        <w:t> </w:t>
      </w:r>
      <w:r>
        <w:rPr>
          <w:spacing w:val="-2"/>
        </w:rPr>
        <w:t>ini,</w:t>
      </w:r>
      <w:r>
        <w:rPr>
          <w:spacing w:val="-15"/>
        </w:rPr>
        <w:t> </w:t>
      </w:r>
      <w:r>
        <w:rPr>
          <w:spacing w:val="-2"/>
        </w:rPr>
        <w:t>termasuk</w:t>
      </w:r>
      <w:r>
        <w:rPr>
          <w:spacing w:val="-14"/>
        </w:rPr>
        <w:t> </w:t>
      </w:r>
      <w:r>
        <w:rPr>
          <w:spacing w:val="-2"/>
        </w:rPr>
        <w:t>potensi</w:t>
      </w:r>
      <w:r>
        <w:rPr>
          <w:spacing w:val="-14"/>
        </w:rPr>
        <w:t> </w:t>
      </w:r>
      <w:r>
        <w:rPr>
          <w:spacing w:val="-2"/>
        </w:rPr>
        <w:t>ancaman keamanan</w:t>
      </w:r>
      <w:r>
        <w:rPr>
          <w:spacing w:val="-14"/>
        </w:rPr>
        <w:t> </w:t>
      </w:r>
      <w:r>
        <w:rPr>
          <w:spacing w:val="-2"/>
        </w:rPr>
        <w:t>dari</w:t>
      </w:r>
      <w:r>
        <w:rPr>
          <w:spacing w:val="-13"/>
        </w:rPr>
        <w:t> </w:t>
      </w:r>
      <w:r>
        <w:rPr>
          <w:spacing w:val="-2"/>
        </w:rPr>
        <w:t>negara</w:t>
      </w:r>
      <w:r>
        <w:rPr>
          <w:spacing w:val="-14"/>
        </w:rPr>
        <w:t> </w:t>
      </w:r>
      <w:r>
        <w:rPr>
          <w:spacing w:val="-2"/>
        </w:rPr>
        <w:t>tetangga</w:t>
      </w:r>
      <w:r>
        <w:rPr>
          <w:spacing w:val="-10"/>
        </w:rPr>
        <w:t> </w:t>
      </w:r>
      <w:r>
        <w:rPr>
          <w:spacing w:val="-2"/>
        </w:rPr>
        <w:t>di</w:t>
      </w:r>
      <w:r>
        <w:rPr>
          <w:spacing w:val="-12"/>
        </w:rPr>
        <w:t> </w:t>
      </w:r>
      <w:r>
        <w:rPr>
          <w:spacing w:val="-2"/>
        </w:rPr>
        <w:t>perbatasan</w:t>
      </w:r>
      <w:r>
        <w:rPr>
          <w:spacing w:val="-13"/>
        </w:rPr>
        <w:t> </w:t>
      </w:r>
      <w:r>
        <w:rPr>
          <w:spacing w:val="-2"/>
        </w:rPr>
        <w:t>darat</w:t>
      </w:r>
      <w:r>
        <w:rPr>
          <w:spacing w:val="-7"/>
        </w:rPr>
        <w:t> </w:t>
      </w:r>
      <w:r>
        <w:rPr>
          <w:spacing w:val="-2"/>
        </w:rPr>
        <w:t>dengan</w:t>
      </w:r>
      <w:r>
        <w:rPr>
          <w:spacing w:val="-8"/>
        </w:rPr>
        <w:t> </w:t>
      </w:r>
      <w:r>
        <w:rPr>
          <w:spacing w:val="-2"/>
        </w:rPr>
        <w:t>Malaysia</w:t>
      </w:r>
      <w:r>
        <w:rPr>
          <w:spacing w:val="-10"/>
        </w:rPr>
        <w:t> </w:t>
      </w:r>
      <w:r>
        <w:rPr>
          <w:spacing w:val="-2"/>
        </w:rPr>
        <w:t>dan</w:t>
      </w:r>
      <w:r>
        <w:rPr>
          <w:spacing w:val="-9"/>
        </w:rPr>
        <w:t> </w:t>
      </w:r>
      <w:r>
        <w:rPr>
          <w:spacing w:val="-2"/>
        </w:rPr>
        <w:t>di </w:t>
      </w:r>
      <w:r>
        <w:rPr/>
        <w:t>perairan dengan Alur Laut Kepulauan Indonesia (ALKI) II yang merupakan </w:t>
      </w:r>
      <w:r>
        <w:rPr>
          <w:spacing w:val="-4"/>
        </w:rPr>
        <w:t>perairan</w:t>
      </w:r>
      <w:r>
        <w:rPr>
          <w:spacing w:val="-7"/>
        </w:rPr>
        <w:t> </w:t>
      </w:r>
      <w:r>
        <w:rPr>
          <w:spacing w:val="-4"/>
        </w:rPr>
        <w:t>internasional.</w:t>
      </w:r>
      <w:r>
        <w:rPr>
          <w:spacing w:val="-9"/>
        </w:rPr>
        <w:t> </w:t>
      </w:r>
      <w:r>
        <w:rPr>
          <w:spacing w:val="-4"/>
        </w:rPr>
        <w:t>Dimana,</w:t>
      </w:r>
      <w:r>
        <w:rPr>
          <w:spacing w:val="-5"/>
        </w:rPr>
        <w:t> </w:t>
      </w:r>
      <w:r>
        <w:rPr>
          <w:spacing w:val="-4"/>
        </w:rPr>
        <w:t>masing-masing jaraknya</w:t>
      </w:r>
      <w:r>
        <w:rPr>
          <w:spacing w:val="-8"/>
        </w:rPr>
        <w:t> </w:t>
      </w:r>
      <w:r>
        <w:rPr>
          <w:spacing w:val="-4"/>
        </w:rPr>
        <w:t>hanya</w:t>
      </w:r>
      <w:r>
        <w:rPr>
          <w:spacing w:val="-7"/>
        </w:rPr>
        <w:t> </w:t>
      </w:r>
      <w:r>
        <w:rPr>
          <w:spacing w:val="-4"/>
        </w:rPr>
        <w:t>sekitar 300km dari</w:t>
      </w:r>
      <w:r>
        <w:rPr>
          <w:spacing w:val="-5"/>
        </w:rPr>
        <w:t> </w:t>
      </w:r>
      <w:r>
        <w:rPr>
          <w:spacing w:val="-4"/>
        </w:rPr>
        <w:t>IKN</w:t>
      </w:r>
      <w:r>
        <w:rPr>
          <w:spacing w:val="-6"/>
        </w:rPr>
        <w:t> </w:t>
      </w:r>
      <w:r>
        <w:rPr>
          <w:spacing w:val="-4"/>
        </w:rPr>
        <w:t>(Nainggolan,</w:t>
      </w:r>
      <w:r>
        <w:rPr>
          <w:spacing w:val="-8"/>
        </w:rPr>
        <w:t> </w:t>
      </w:r>
      <w:r>
        <w:rPr>
          <w:spacing w:val="-4"/>
        </w:rPr>
        <w:t>2020:94). Begitu</w:t>
      </w:r>
      <w:r>
        <w:rPr>
          <w:spacing w:val="-5"/>
        </w:rPr>
        <w:t> </w:t>
      </w:r>
      <w:r>
        <w:rPr>
          <w:spacing w:val="-4"/>
        </w:rPr>
        <w:t>pula</w:t>
      </w:r>
      <w:r>
        <w:rPr>
          <w:spacing w:val="-13"/>
        </w:rPr>
        <w:t> </w:t>
      </w:r>
      <w:r>
        <w:rPr>
          <w:spacing w:val="-4"/>
        </w:rPr>
        <w:t>terkait urusan yang</w:t>
      </w:r>
      <w:r>
        <w:rPr>
          <w:spacing w:val="-7"/>
        </w:rPr>
        <w:t> </w:t>
      </w:r>
      <w:r>
        <w:rPr>
          <w:spacing w:val="-4"/>
        </w:rPr>
        <w:t>berhubungan </w:t>
      </w:r>
      <w:r>
        <w:rPr/>
        <w:t>dengan</w:t>
      </w:r>
      <w:r>
        <w:rPr>
          <w:spacing w:val="-5"/>
        </w:rPr>
        <w:t> </w:t>
      </w:r>
      <w:r>
        <w:rPr/>
        <w:t>penduduk</w:t>
      </w:r>
      <w:r>
        <w:rPr>
          <w:spacing w:val="-3"/>
        </w:rPr>
        <w:t> </w:t>
      </w:r>
      <w:r>
        <w:rPr/>
        <w:t>(masyarakat)</w:t>
      </w:r>
      <w:r>
        <w:rPr>
          <w:spacing w:val="-4"/>
        </w:rPr>
        <w:t> </w:t>
      </w:r>
      <w:r>
        <w:rPr/>
        <w:t>seperti</w:t>
      </w:r>
      <w:r>
        <w:rPr>
          <w:spacing w:val="-1"/>
        </w:rPr>
        <w:t> </w:t>
      </w:r>
      <w:r>
        <w:rPr/>
        <w:t>urusan kependudukan dan</w:t>
      </w:r>
      <w:r>
        <w:rPr>
          <w:spacing w:val="-5"/>
        </w:rPr>
        <w:t> </w:t>
      </w:r>
      <w:r>
        <w:rPr/>
        <w:t>catatan sipil, kesehatan, pendidikan, dan lain-lain.</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2" w:firstLine="710"/>
      </w:pPr>
      <w:r>
        <w:rPr>
          <w:spacing w:val="-4"/>
        </w:rPr>
        <w:t>Sejak</w:t>
      </w:r>
      <w:r>
        <w:rPr>
          <w:spacing w:val="-13"/>
        </w:rPr>
        <w:t> </w:t>
      </w:r>
      <w:r>
        <w:rPr>
          <w:spacing w:val="-4"/>
        </w:rPr>
        <w:t>awal</w:t>
      </w:r>
      <w:r>
        <w:rPr>
          <w:spacing w:val="-12"/>
        </w:rPr>
        <w:t> </w:t>
      </w:r>
      <w:r>
        <w:rPr>
          <w:spacing w:val="-4"/>
        </w:rPr>
        <w:t>kebijakan</w:t>
      </w:r>
      <w:r>
        <w:rPr>
          <w:spacing w:val="-13"/>
        </w:rPr>
        <w:t> </w:t>
      </w:r>
      <w:r>
        <w:rPr>
          <w:spacing w:val="-4"/>
        </w:rPr>
        <w:t>pemindahan</w:t>
      </w:r>
      <w:r>
        <w:rPr>
          <w:spacing w:val="-12"/>
        </w:rPr>
        <w:t> </w:t>
      </w:r>
      <w:r>
        <w:rPr>
          <w:spacing w:val="-4"/>
        </w:rPr>
        <w:t>ibukota</w:t>
      </w:r>
      <w:r>
        <w:rPr>
          <w:spacing w:val="-13"/>
        </w:rPr>
        <w:t> </w:t>
      </w:r>
      <w:r>
        <w:rPr>
          <w:spacing w:val="-4"/>
        </w:rPr>
        <w:t>negara</w:t>
      </w:r>
      <w:r>
        <w:rPr>
          <w:spacing w:val="-12"/>
        </w:rPr>
        <w:t> </w:t>
      </w:r>
      <w:r>
        <w:rPr>
          <w:spacing w:val="-4"/>
        </w:rPr>
        <w:t>ini</w:t>
      </w:r>
      <w:r>
        <w:rPr>
          <w:spacing w:val="-12"/>
        </w:rPr>
        <w:t> </w:t>
      </w:r>
      <w:r>
        <w:rPr>
          <w:spacing w:val="-4"/>
        </w:rPr>
        <w:t>dilakukan</w:t>
      </w:r>
      <w:r>
        <w:rPr>
          <w:spacing w:val="-13"/>
        </w:rPr>
        <w:t> </w:t>
      </w:r>
      <w:r>
        <w:rPr>
          <w:spacing w:val="-4"/>
        </w:rPr>
        <w:t>dengan </w:t>
      </w:r>
      <w:r>
        <w:rPr>
          <w:spacing w:val="-6"/>
        </w:rPr>
        <w:t>mengedepankan pendekatan politik daripada studi</w:t>
      </w:r>
      <w:r>
        <w:rPr>
          <w:spacing w:val="-10"/>
        </w:rPr>
        <w:t> </w:t>
      </w:r>
      <w:r>
        <w:rPr>
          <w:spacing w:val="-6"/>
        </w:rPr>
        <w:t>kebijakan secara akademik </w:t>
      </w:r>
      <w:r>
        <w:rPr>
          <w:spacing w:val="-4"/>
        </w:rPr>
        <w:t>berdasarkan</w:t>
      </w:r>
      <w:r>
        <w:rPr>
          <w:spacing w:val="-13"/>
        </w:rPr>
        <w:t> </w:t>
      </w:r>
      <w:r>
        <w:rPr>
          <w:spacing w:val="-4"/>
        </w:rPr>
        <w:t>penelitian</w:t>
      </w:r>
      <w:r>
        <w:rPr>
          <w:spacing w:val="-12"/>
        </w:rPr>
        <w:t> </w:t>
      </w:r>
      <w:r>
        <w:rPr>
          <w:spacing w:val="-4"/>
        </w:rPr>
        <w:t>berbasis</w:t>
      </w:r>
      <w:r>
        <w:rPr>
          <w:spacing w:val="-13"/>
        </w:rPr>
        <w:t> </w:t>
      </w:r>
      <w:r>
        <w:rPr>
          <w:spacing w:val="-4"/>
        </w:rPr>
        <w:t>bukti</w:t>
      </w:r>
      <w:r>
        <w:rPr>
          <w:spacing w:val="-12"/>
        </w:rPr>
        <w:t> </w:t>
      </w:r>
      <w:r>
        <w:rPr>
          <w:spacing w:val="-4"/>
        </w:rPr>
        <w:t>(research</w:t>
      </w:r>
      <w:r>
        <w:rPr>
          <w:spacing w:val="-13"/>
        </w:rPr>
        <w:t> </w:t>
      </w:r>
      <w:r>
        <w:rPr>
          <w:spacing w:val="-4"/>
        </w:rPr>
        <w:t>based-</w:t>
      </w:r>
      <w:r>
        <w:rPr>
          <w:spacing w:val="-12"/>
        </w:rPr>
        <w:t> </w:t>
      </w:r>
      <w:r>
        <w:rPr>
          <w:spacing w:val="-4"/>
        </w:rPr>
        <w:t>policy</w:t>
      </w:r>
      <w:r>
        <w:rPr>
          <w:spacing w:val="-13"/>
        </w:rPr>
        <w:t> </w:t>
      </w:r>
      <w:r>
        <w:rPr>
          <w:spacing w:val="-4"/>
        </w:rPr>
        <w:t>making).</w:t>
      </w:r>
      <w:r>
        <w:rPr>
          <w:spacing w:val="-12"/>
        </w:rPr>
        <w:t> </w:t>
      </w:r>
      <w:r>
        <w:rPr>
          <w:spacing w:val="-4"/>
        </w:rPr>
        <w:t>Ia</w:t>
      </w:r>
      <w:r>
        <w:rPr>
          <w:spacing w:val="-12"/>
        </w:rPr>
        <w:t> </w:t>
      </w:r>
      <w:r>
        <w:rPr>
          <w:spacing w:val="-4"/>
        </w:rPr>
        <w:t>tidak </w:t>
      </w:r>
      <w:r>
        <w:rPr>
          <w:spacing w:val="-6"/>
        </w:rPr>
        <w:t>dilengkapi</w:t>
      </w:r>
      <w:r>
        <w:rPr>
          <w:spacing w:val="-8"/>
        </w:rPr>
        <w:t> </w:t>
      </w:r>
      <w:r>
        <w:rPr>
          <w:spacing w:val="-6"/>
        </w:rPr>
        <w:t>dengan</w:t>
      </w:r>
      <w:r>
        <w:rPr>
          <w:spacing w:val="-11"/>
        </w:rPr>
        <w:t> </w:t>
      </w:r>
      <w:r>
        <w:rPr>
          <w:spacing w:val="-6"/>
        </w:rPr>
        <w:t>keberadaan</w:t>
      </w:r>
      <w:r>
        <w:rPr>
          <w:spacing w:val="-9"/>
        </w:rPr>
        <w:t> </w:t>
      </w:r>
      <w:r>
        <w:rPr>
          <w:spacing w:val="-6"/>
        </w:rPr>
        <w:t>naskah</w:t>
      </w:r>
      <w:r>
        <w:rPr>
          <w:spacing w:val="-9"/>
        </w:rPr>
        <w:t> </w:t>
      </w:r>
      <w:r>
        <w:rPr>
          <w:spacing w:val="-6"/>
        </w:rPr>
        <w:t>akademik</w:t>
      </w:r>
      <w:r>
        <w:rPr>
          <w:spacing w:val="-1"/>
        </w:rPr>
        <w:t> </w:t>
      </w:r>
      <w:r>
        <w:rPr>
          <w:spacing w:val="-6"/>
        </w:rPr>
        <w:t>yang</w:t>
      </w:r>
      <w:r>
        <w:rPr>
          <w:spacing w:val="-11"/>
        </w:rPr>
        <w:t> </w:t>
      </w:r>
      <w:r>
        <w:rPr>
          <w:spacing w:val="-6"/>
        </w:rPr>
        <w:t>komprehensif dan</w:t>
      </w:r>
      <w:r>
        <w:rPr>
          <w:spacing w:val="-9"/>
        </w:rPr>
        <w:t> </w:t>
      </w:r>
      <w:r>
        <w:rPr>
          <w:spacing w:val="-6"/>
        </w:rPr>
        <w:t>jelas, sehingga pemindahan ibukota dari Jakarta ke IKN Nusantara masih rawan dari </w:t>
      </w:r>
      <w:r>
        <w:rPr/>
        <w:t>berbagai konflik kelembagaan yang dapat muncul sewaktu-waktu ketika </w:t>
      </w:r>
      <w:r>
        <w:rPr>
          <w:spacing w:val="-4"/>
        </w:rPr>
        <w:t>kegiatan</w:t>
      </w:r>
      <w:r>
        <w:rPr>
          <w:spacing w:val="-7"/>
        </w:rPr>
        <w:t> </w:t>
      </w:r>
      <w:r>
        <w:rPr>
          <w:spacing w:val="-4"/>
        </w:rPr>
        <w:t>pemerintahan di sana telah berlangsung. Diperkirakan, akan</w:t>
      </w:r>
      <w:r>
        <w:rPr>
          <w:spacing w:val="-7"/>
        </w:rPr>
        <w:t> </w:t>
      </w:r>
      <w:r>
        <w:rPr>
          <w:spacing w:val="-4"/>
        </w:rPr>
        <w:t>banyak </w:t>
      </w:r>
      <w:r>
        <w:rPr>
          <w:spacing w:val="-2"/>
        </w:rPr>
        <w:t>kemungkinan</w:t>
      </w:r>
      <w:r>
        <w:rPr>
          <w:spacing w:val="-15"/>
        </w:rPr>
        <w:t> </w:t>
      </w:r>
      <w:r>
        <w:rPr>
          <w:spacing w:val="-2"/>
        </w:rPr>
        <w:t>terjadi</w:t>
      </w:r>
      <w:r>
        <w:rPr>
          <w:spacing w:val="-14"/>
        </w:rPr>
        <w:t> </w:t>
      </w:r>
      <w:r>
        <w:rPr>
          <w:spacing w:val="-2"/>
        </w:rPr>
        <w:t>konflik-konflik</w:t>
      </w:r>
      <w:r>
        <w:rPr>
          <w:spacing w:val="-15"/>
        </w:rPr>
        <w:t> </w:t>
      </w:r>
      <w:r>
        <w:rPr>
          <w:spacing w:val="-2"/>
        </w:rPr>
        <w:t>kelembagaan</w:t>
      </w:r>
      <w:r>
        <w:rPr>
          <w:spacing w:val="-14"/>
        </w:rPr>
        <w:t> </w:t>
      </w:r>
      <w:r>
        <w:rPr>
          <w:spacing w:val="-2"/>
        </w:rPr>
        <w:t>yang</w:t>
      </w:r>
      <w:r>
        <w:rPr>
          <w:spacing w:val="-15"/>
        </w:rPr>
        <w:t> </w:t>
      </w:r>
      <w:r>
        <w:rPr>
          <w:spacing w:val="-2"/>
        </w:rPr>
        <w:t>bersifat</w:t>
      </w:r>
      <w:r>
        <w:rPr>
          <w:spacing w:val="-14"/>
        </w:rPr>
        <w:t> </w:t>
      </w:r>
      <w:r>
        <w:rPr>
          <w:spacing w:val="-2"/>
        </w:rPr>
        <w:t>laten,</w:t>
      </w:r>
      <w:r>
        <w:rPr>
          <w:spacing w:val="-15"/>
        </w:rPr>
        <w:t> </w:t>
      </w:r>
      <w:r>
        <w:rPr>
          <w:spacing w:val="-2"/>
        </w:rPr>
        <w:t>namun </w:t>
      </w:r>
      <w:r>
        <w:rPr/>
        <w:t>berpotensi menganggu jalannya kegiatan pemerintahan di IKN Nusantara mengingat naskah akademik UU yang mengaturnya dan sudah disahkan </w:t>
      </w:r>
      <w:r>
        <w:rPr>
          <w:spacing w:val="-4"/>
        </w:rPr>
        <w:t>parlemen</w:t>
      </w:r>
      <w:r>
        <w:rPr>
          <w:spacing w:val="-13"/>
        </w:rPr>
        <w:t> </w:t>
      </w:r>
      <w:r>
        <w:rPr>
          <w:spacing w:val="-4"/>
        </w:rPr>
        <w:t>(DPR)</w:t>
      </w:r>
      <w:r>
        <w:rPr>
          <w:spacing w:val="-12"/>
        </w:rPr>
        <w:t> </w:t>
      </w:r>
      <w:r>
        <w:rPr>
          <w:spacing w:val="-4"/>
        </w:rPr>
        <w:t>itu</w:t>
      </w:r>
      <w:r>
        <w:rPr>
          <w:spacing w:val="-13"/>
        </w:rPr>
        <w:t> </w:t>
      </w:r>
      <w:r>
        <w:rPr>
          <w:spacing w:val="-4"/>
        </w:rPr>
        <w:t>belum</w:t>
      </w:r>
      <w:r>
        <w:rPr>
          <w:spacing w:val="-12"/>
        </w:rPr>
        <w:t> </w:t>
      </w:r>
      <w:r>
        <w:rPr>
          <w:spacing w:val="-4"/>
        </w:rPr>
        <w:t>mengidentifikasi</w:t>
      </w:r>
      <w:r>
        <w:rPr>
          <w:spacing w:val="-13"/>
        </w:rPr>
        <w:t> </w:t>
      </w:r>
      <w:r>
        <w:rPr>
          <w:spacing w:val="-4"/>
        </w:rPr>
        <w:t>berbagai</w:t>
      </w:r>
      <w:r>
        <w:rPr>
          <w:spacing w:val="-12"/>
        </w:rPr>
        <w:t> </w:t>
      </w:r>
      <w:r>
        <w:rPr>
          <w:spacing w:val="-4"/>
        </w:rPr>
        <w:t>permasalahan</w:t>
      </w:r>
      <w:r>
        <w:rPr>
          <w:spacing w:val="-13"/>
        </w:rPr>
        <w:t> </w:t>
      </w:r>
      <w:r>
        <w:rPr>
          <w:spacing w:val="-4"/>
        </w:rPr>
        <w:t>yang</w:t>
      </w:r>
      <w:r>
        <w:rPr>
          <w:spacing w:val="-12"/>
        </w:rPr>
        <w:t> </w:t>
      </w:r>
      <w:r>
        <w:rPr>
          <w:spacing w:val="-4"/>
        </w:rPr>
        <w:t>akan </w:t>
      </w:r>
      <w:r>
        <w:rPr>
          <w:spacing w:val="-6"/>
        </w:rPr>
        <w:t>muncul, khususnya</w:t>
      </w:r>
      <w:r>
        <w:rPr>
          <w:spacing w:val="-7"/>
        </w:rPr>
        <w:t> </w:t>
      </w:r>
      <w:r>
        <w:rPr>
          <w:spacing w:val="-6"/>
        </w:rPr>
        <w:t>mengenai konflik- konflik kelembagaan yang</w:t>
      </w:r>
      <w:r>
        <w:rPr>
          <w:spacing w:val="-7"/>
        </w:rPr>
        <w:t> </w:t>
      </w:r>
      <w:r>
        <w:rPr>
          <w:spacing w:val="-6"/>
        </w:rPr>
        <w:t>bersifat</w:t>
      </w:r>
      <w:r>
        <w:rPr/>
        <w:t> </w:t>
      </w:r>
      <w:r>
        <w:rPr>
          <w:spacing w:val="-6"/>
        </w:rPr>
        <w:t>laten </w:t>
      </w:r>
      <w:r>
        <w:rPr/>
        <w:t>dan dapat berdampak serius jika tidak diantisipasi dan disiapkan penanganannya sejak dini.</w:t>
      </w:r>
    </w:p>
    <w:p>
      <w:pPr>
        <w:pStyle w:val="BodyText"/>
        <w:spacing w:line="360" w:lineRule="auto" w:before="4"/>
        <w:ind w:left="566" w:right="766" w:firstLine="710"/>
      </w:pPr>
      <w:r>
        <w:rPr/>
        <w:t>Selain</w:t>
      </w:r>
      <w:r>
        <w:rPr>
          <w:spacing w:val="-17"/>
        </w:rPr>
        <w:t> </w:t>
      </w:r>
      <w:r>
        <w:rPr/>
        <w:t>itu,</w:t>
      </w:r>
      <w:r>
        <w:rPr>
          <w:spacing w:val="-16"/>
        </w:rPr>
        <w:t> </w:t>
      </w:r>
      <w:r>
        <w:rPr/>
        <w:t>dalam</w:t>
      </w:r>
      <w:r>
        <w:rPr>
          <w:spacing w:val="-17"/>
        </w:rPr>
        <w:t> </w:t>
      </w:r>
      <w:r>
        <w:rPr/>
        <w:t>bidang</w:t>
      </w:r>
      <w:r>
        <w:rPr>
          <w:spacing w:val="-16"/>
        </w:rPr>
        <w:t> </w:t>
      </w:r>
      <w:r>
        <w:rPr/>
        <w:t>politik,</w:t>
      </w:r>
      <w:r>
        <w:rPr>
          <w:spacing w:val="-17"/>
        </w:rPr>
        <w:t> </w:t>
      </w:r>
      <w:r>
        <w:rPr/>
        <w:t>dengan</w:t>
      </w:r>
      <w:r>
        <w:rPr>
          <w:spacing w:val="-16"/>
        </w:rPr>
        <w:t> </w:t>
      </w:r>
      <w:r>
        <w:rPr/>
        <w:t>hanya</w:t>
      </w:r>
      <w:r>
        <w:rPr>
          <w:spacing w:val="-17"/>
        </w:rPr>
        <w:t> </w:t>
      </w:r>
      <w:r>
        <w:rPr/>
        <w:t>ada</w:t>
      </w:r>
      <w:r>
        <w:rPr>
          <w:spacing w:val="-16"/>
        </w:rPr>
        <w:t> </w:t>
      </w:r>
      <w:r>
        <w:rPr/>
        <w:t>perwakilan</w:t>
      </w:r>
      <w:r>
        <w:rPr>
          <w:spacing w:val="-16"/>
        </w:rPr>
        <w:t> </w:t>
      </w:r>
      <w:r>
        <w:rPr/>
        <w:t>di</w:t>
      </w:r>
      <w:r>
        <w:rPr>
          <w:spacing w:val="-17"/>
        </w:rPr>
        <w:t> </w:t>
      </w:r>
      <w:r>
        <w:rPr/>
        <w:t>DPR dan DPD dari IKN tentu menimbulkan persoalan defisit demokrasi di IKN. Dibandingkan dengan status provinsi DKI Jakarta yang selain memiliki </w:t>
      </w:r>
      <w:r>
        <w:rPr>
          <w:spacing w:val="-4"/>
        </w:rPr>
        <w:t>representasi</w:t>
      </w:r>
      <w:r>
        <w:rPr>
          <w:spacing w:val="-13"/>
        </w:rPr>
        <w:t> </w:t>
      </w:r>
      <w:r>
        <w:rPr>
          <w:spacing w:val="-4"/>
        </w:rPr>
        <w:t>wakil</w:t>
      </w:r>
      <w:r>
        <w:rPr>
          <w:spacing w:val="-12"/>
        </w:rPr>
        <w:t> </w:t>
      </w:r>
      <w:r>
        <w:rPr>
          <w:spacing w:val="-4"/>
        </w:rPr>
        <w:t>rakyat</w:t>
      </w:r>
      <w:r>
        <w:rPr>
          <w:spacing w:val="-9"/>
        </w:rPr>
        <w:t> </w:t>
      </w:r>
      <w:r>
        <w:rPr>
          <w:spacing w:val="-4"/>
        </w:rPr>
        <w:t>di</w:t>
      </w:r>
      <w:r>
        <w:rPr>
          <w:spacing w:val="-10"/>
        </w:rPr>
        <w:t> </w:t>
      </w:r>
      <w:r>
        <w:rPr>
          <w:spacing w:val="-4"/>
        </w:rPr>
        <w:t>DPR</w:t>
      </w:r>
      <w:r>
        <w:rPr>
          <w:spacing w:val="-10"/>
        </w:rPr>
        <w:t> </w:t>
      </w:r>
      <w:r>
        <w:rPr>
          <w:spacing w:val="-4"/>
        </w:rPr>
        <w:t>dan</w:t>
      </w:r>
      <w:r>
        <w:rPr>
          <w:spacing w:val="-11"/>
        </w:rPr>
        <w:t> </w:t>
      </w:r>
      <w:r>
        <w:rPr>
          <w:spacing w:val="-4"/>
        </w:rPr>
        <w:t>DPD,</w:t>
      </w:r>
      <w:r>
        <w:rPr>
          <w:spacing w:val="-10"/>
        </w:rPr>
        <w:t> </w:t>
      </w:r>
      <w:r>
        <w:rPr>
          <w:spacing w:val="-4"/>
        </w:rPr>
        <w:t>juga</w:t>
      </w:r>
      <w:r>
        <w:rPr>
          <w:spacing w:val="-11"/>
        </w:rPr>
        <w:t> </w:t>
      </w:r>
      <w:r>
        <w:rPr>
          <w:spacing w:val="-4"/>
        </w:rPr>
        <w:t>memiliki</w:t>
      </w:r>
      <w:r>
        <w:rPr>
          <w:spacing w:val="-10"/>
        </w:rPr>
        <w:t> </w:t>
      </w:r>
      <w:r>
        <w:rPr>
          <w:spacing w:val="-4"/>
        </w:rPr>
        <w:t>DPRD</w:t>
      </w:r>
      <w:r>
        <w:rPr>
          <w:spacing w:val="-10"/>
        </w:rPr>
        <w:t> </w:t>
      </w:r>
      <w:r>
        <w:rPr>
          <w:spacing w:val="-4"/>
        </w:rPr>
        <w:t>walau</w:t>
      </w:r>
      <w:r>
        <w:rPr>
          <w:spacing w:val="-13"/>
        </w:rPr>
        <w:t> </w:t>
      </w:r>
      <w:r>
        <w:rPr>
          <w:spacing w:val="-4"/>
        </w:rPr>
        <w:t>hanya</w:t>
      </w:r>
      <w:r>
        <w:rPr>
          <w:spacing w:val="-11"/>
        </w:rPr>
        <w:t> </w:t>
      </w:r>
      <w:r>
        <w:rPr>
          <w:spacing w:val="-4"/>
        </w:rPr>
        <w:t>di </w:t>
      </w:r>
      <w:r>
        <w:rPr>
          <w:spacing w:val="-6"/>
        </w:rPr>
        <w:t>tingkat provinsi. Persoalan-persoalan potensi konflik dan hilangnya demokrasi </w:t>
      </w:r>
      <w:r>
        <w:rPr/>
        <w:t>dalam IKN tentu perlu disimulasikan melalui sebuah riset. Mendahulukan kesepakatan politik daripada menyiapkan sebuah naskah akademik yang </w:t>
      </w:r>
      <w:r>
        <w:rPr>
          <w:spacing w:val="-6"/>
        </w:rPr>
        <w:t>komprehensif,</w:t>
      </w:r>
      <w:r>
        <w:rPr>
          <w:spacing w:val="-11"/>
        </w:rPr>
        <w:t> </w:t>
      </w:r>
      <w:r>
        <w:rPr>
          <w:spacing w:val="-6"/>
        </w:rPr>
        <w:t>objektif</w:t>
      </w:r>
      <w:r>
        <w:rPr>
          <w:spacing w:val="-10"/>
        </w:rPr>
        <w:t> </w:t>
      </w:r>
      <w:r>
        <w:rPr>
          <w:spacing w:val="-6"/>
        </w:rPr>
        <w:t>dan</w:t>
      </w:r>
      <w:r>
        <w:rPr>
          <w:spacing w:val="-11"/>
        </w:rPr>
        <w:t> </w:t>
      </w:r>
      <w:r>
        <w:rPr>
          <w:spacing w:val="-6"/>
        </w:rPr>
        <w:t>jelas</w:t>
      </w:r>
      <w:r>
        <w:rPr>
          <w:spacing w:val="-10"/>
        </w:rPr>
        <w:t> </w:t>
      </w:r>
      <w:r>
        <w:rPr>
          <w:spacing w:val="-6"/>
        </w:rPr>
        <w:t>untuk</w:t>
      </w:r>
      <w:r>
        <w:rPr>
          <w:spacing w:val="-11"/>
        </w:rPr>
        <w:t> </w:t>
      </w:r>
      <w:r>
        <w:rPr>
          <w:spacing w:val="-6"/>
        </w:rPr>
        <w:t>pemindahan</w:t>
      </w:r>
      <w:r>
        <w:rPr>
          <w:spacing w:val="-10"/>
        </w:rPr>
        <w:t> </w:t>
      </w:r>
      <w:r>
        <w:rPr>
          <w:spacing w:val="-6"/>
        </w:rPr>
        <w:t>ibukota</w:t>
      </w:r>
      <w:r>
        <w:rPr>
          <w:spacing w:val="-11"/>
        </w:rPr>
        <w:t> </w:t>
      </w:r>
      <w:r>
        <w:rPr>
          <w:spacing w:val="-6"/>
        </w:rPr>
        <w:t>negara</w:t>
      </w:r>
      <w:r>
        <w:rPr>
          <w:spacing w:val="-10"/>
        </w:rPr>
        <w:t> </w:t>
      </w:r>
      <w:r>
        <w:rPr>
          <w:spacing w:val="-6"/>
        </w:rPr>
        <w:t>dari</w:t>
      </w:r>
      <w:r>
        <w:rPr>
          <w:spacing w:val="-10"/>
        </w:rPr>
        <w:t> </w:t>
      </w:r>
      <w:r>
        <w:rPr>
          <w:spacing w:val="-6"/>
        </w:rPr>
        <w:t>Jakarta </w:t>
      </w:r>
      <w:r>
        <w:rPr/>
        <w:t>ke IKN Nusantara, di wilayah Provinsi Kalimantan Timur, akan membawa konsekuensi timbulnya masalah di kemudian hari. Masalah terutama akan muncul dalam kaitannya dengan hubungan kelembagaan (</w:t>
      </w:r>
      <w:r>
        <w:rPr>
          <w:i/>
        </w:rPr>
        <w:t>institutional </w:t>
      </w:r>
      <w:r>
        <w:rPr>
          <w:i/>
          <w:spacing w:val="-4"/>
        </w:rPr>
        <w:t>relations</w:t>
      </w:r>
      <w:r>
        <w:rPr>
          <w:spacing w:val="-4"/>
        </w:rPr>
        <w:t>)</w:t>
      </w:r>
      <w:r>
        <w:rPr>
          <w:spacing w:val="-11"/>
        </w:rPr>
        <w:t> </w:t>
      </w:r>
      <w:r>
        <w:rPr>
          <w:spacing w:val="-4"/>
        </w:rPr>
        <w:t>dan</w:t>
      </w:r>
      <w:r>
        <w:rPr>
          <w:spacing w:val="-6"/>
        </w:rPr>
        <w:t> </w:t>
      </w:r>
      <w:r>
        <w:rPr>
          <w:spacing w:val="-4"/>
        </w:rPr>
        <w:t>pembagian</w:t>
      </w:r>
      <w:r>
        <w:rPr>
          <w:spacing w:val="-6"/>
        </w:rPr>
        <w:t> </w:t>
      </w:r>
      <w:r>
        <w:rPr>
          <w:spacing w:val="-4"/>
        </w:rPr>
        <w:t>kekuasaan</w:t>
      </w:r>
      <w:r>
        <w:rPr>
          <w:spacing w:val="-6"/>
        </w:rPr>
        <w:t> </w:t>
      </w:r>
      <w:r>
        <w:rPr>
          <w:spacing w:val="-4"/>
        </w:rPr>
        <w:t>dan</w:t>
      </w:r>
      <w:r>
        <w:rPr>
          <w:spacing w:val="-6"/>
        </w:rPr>
        <w:t> </w:t>
      </w:r>
      <w:r>
        <w:rPr>
          <w:spacing w:val="-4"/>
        </w:rPr>
        <w:t>kewenangan</w:t>
      </w:r>
      <w:r>
        <w:rPr>
          <w:spacing w:val="-6"/>
        </w:rPr>
        <w:t> </w:t>
      </w:r>
      <w:r>
        <w:rPr>
          <w:spacing w:val="-4"/>
        </w:rPr>
        <w:t>(division</w:t>
      </w:r>
      <w:r>
        <w:rPr>
          <w:spacing w:val="-5"/>
        </w:rPr>
        <w:t> </w:t>
      </w:r>
      <w:r>
        <w:rPr>
          <w:spacing w:val="-4"/>
        </w:rPr>
        <w:t>of power</w:t>
      </w:r>
      <w:r>
        <w:rPr>
          <w:spacing w:val="-6"/>
        </w:rPr>
        <w:t> </w:t>
      </w:r>
      <w:r>
        <w:rPr>
          <w:spacing w:val="-4"/>
        </w:rPr>
        <w:t>and </w:t>
      </w:r>
      <w:r>
        <w:rPr/>
        <w:t>authority)</w:t>
      </w:r>
      <w:r>
        <w:rPr>
          <w:spacing w:val="-17"/>
        </w:rPr>
        <w:t> </w:t>
      </w:r>
      <w:r>
        <w:rPr/>
        <w:t>antara</w:t>
      </w:r>
      <w:r>
        <w:rPr>
          <w:spacing w:val="-16"/>
        </w:rPr>
        <w:t> </w:t>
      </w:r>
      <w:r>
        <w:rPr/>
        <w:t>berbagai</w:t>
      </w:r>
      <w:r>
        <w:rPr>
          <w:spacing w:val="-17"/>
        </w:rPr>
        <w:t> </w:t>
      </w:r>
      <w:r>
        <w:rPr/>
        <w:t>institusi</w:t>
      </w:r>
      <w:r>
        <w:rPr>
          <w:spacing w:val="-16"/>
        </w:rPr>
        <w:t> </w:t>
      </w:r>
      <w:r>
        <w:rPr/>
        <w:t>pemerintah</w:t>
      </w:r>
      <w:r>
        <w:rPr>
          <w:spacing w:val="-17"/>
        </w:rPr>
        <w:t> </w:t>
      </w:r>
      <w:r>
        <w:rPr/>
        <w:t>pusat</w:t>
      </w:r>
      <w:r>
        <w:rPr>
          <w:spacing w:val="-16"/>
        </w:rPr>
        <w:t> </w:t>
      </w:r>
      <w:r>
        <w:rPr/>
        <w:t>dan</w:t>
      </w:r>
      <w:r>
        <w:rPr>
          <w:spacing w:val="-17"/>
        </w:rPr>
        <w:t> </w:t>
      </w:r>
      <w:r>
        <w:rPr/>
        <w:t>wilayah</w:t>
      </w:r>
      <w:r>
        <w:rPr>
          <w:spacing w:val="-16"/>
        </w:rPr>
        <w:t> </w:t>
      </w:r>
      <w:r>
        <w:rPr/>
        <w:t>setempat. Masalah</w:t>
      </w:r>
      <w:r>
        <w:rPr>
          <w:spacing w:val="33"/>
        </w:rPr>
        <w:t> </w:t>
      </w:r>
      <w:r>
        <w:rPr/>
        <w:t>yang</w:t>
      </w:r>
      <w:r>
        <w:rPr>
          <w:spacing w:val="32"/>
        </w:rPr>
        <w:t> </w:t>
      </w:r>
      <w:r>
        <w:rPr/>
        <w:t>tidak</w:t>
      </w:r>
      <w:r>
        <w:rPr>
          <w:spacing w:val="35"/>
        </w:rPr>
        <w:t> </w:t>
      </w:r>
      <w:r>
        <w:rPr/>
        <w:t>diantisipasi</w:t>
      </w:r>
      <w:r>
        <w:rPr>
          <w:spacing w:val="34"/>
        </w:rPr>
        <w:t> </w:t>
      </w:r>
      <w:r>
        <w:rPr/>
        <w:t>dan</w:t>
      </w:r>
      <w:r>
        <w:rPr>
          <w:spacing w:val="33"/>
        </w:rPr>
        <w:t> </w:t>
      </w:r>
      <w:r>
        <w:rPr/>
        <w:t>diidentifikasi</w:t>
      </w:r>
      <w:r>
        <w:rPr>
          <w:spacing w:val="34"/>
        </w:rPr>
        <w:t> </w:t>
      </w:r>
      <w:r>
        <w:rPr/>
        <w:t>sebelumnya</w:t>
      </w:r>
      <w:r>
        <w:rPr>
          <w:spacing w:val="33"/>
        </w:rPr>
        <w:t> </w:t>
      </w:r>
      <w:r>
        <w:rPr/>
        <w:t>ini,</w:t>
      </w:r>
      <w:r>
        <w:rPr>
          <w:spacing w:val="34"/>
        </w:rPr>
        <w:t> </w:t>
      </w:r>
      <w:r>
        <w:rPr/>
        <w:t>akibat</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7"/>
      </w:pPr>
      <w:r>
        <w:rPr>
          <w:spacing w:val="-4"/>
        </w:rPr>
        <w:t>penyusunan</w:t>
      </w:r>
      <w:r>
        <w:rPr>
          <w:spacing w:val="-9"/>
        </w:rPr>
        <w:t> </w:t>
      </w:r>
      <w:r>
        <w:rPr>
          <w:spacing w:val="-4"/>
        </w:rPr>
        <w:t>dan</w:t>
      </w:r>
      <w:r>
        <w:rPr>
          <w:spacing w:val="-5"/>
        </w:rPr>
        <w:t> </w:t>
      </w:r>
      <w:r>
        <w:rPr>
          <w:spacing w:val="-4"/>
        </w:rPr>
        <w:t>pembahasan UU</w:t>
      </w:r>
      <w:r>
        <w:rPr>
          <w:spacing w:val="-5"/>
        </w:rPr>
        <w:t> </w:t>
      </w:r>
      <w:r>
        <w:rPr>
          <w:spacing w:val="-4"/>
        </w:rPr>
        <w:t>yang</w:t>
      </w:r>
      <w:r>
        <w:rPr>
          <w:spacing w:val="-6"/>
        </w:rPr>
        <w:t> </w:t>
      </w:r>
      <w:r>
        <w:rPr>
          <w:spacing w:val="-4"/>
        </w:rPr>
        <w:t>terburu-buru, yang dipaksakan</w:t>
      </w:r>
      <w:r>
        <w:rPr>
          <w:spacing w:val="-5"/>
        </w:rPr>
        <w:t> </w:t>
      </w:r>
      <w:r>
        <w:rPr>
          <w:spacing w:val="-4"/>
        </w:rPr>
        <w:t>harus </w:t>
      </w:r>
      <w:r>
        <w:rPr/>
        <w:t>cepat</w:t>
      </w:r>
      <w:r>
        <w:rPr>
          <w:spacing w:val="-10"/>
        </w:rPr>
        <w:t> </w:t>
      </w:r>
      <w:r>
        <w:rPr/>
        <w:t>selesai,</w:t>
      </w:r>
      <w:r>
        <w:rPr>
          <w:spacing w:val="-9"/>
        </w:rPr>
        <w:t> </w:t>
      </w:r>
      <w:r>
        <w:rPr/>
        <w:t>yakni</w:t>
      </w:r>
      <w:r>
        <w:rPr>
          <w:spacing w:val="-15"/>
        </w:rPr>
        <w:t> </w:t>
      </w:r>
      <w:r>
        <w:rPr/>
        <w:t>hanya</w:t>
      </w:r>
      <w:r>
        <w:rPr>
          <w:spacing w:val="-11"/>
        </w:rPr>
        <w:t> </w:t>
      </w:r>
      <w:r>
        <w:rPr/>
        <w:t>dalam</w:t>
      </w:r>
      <w:r>
        <w:rPr>
          <w:spacing w:val="-15"/>
        </w:rPr>
        <w:t> </w:t>
      </w:r>
      <w:r>
        <w:rPr/>
        <w:t>waktu</w:t>
      </w:r>
      <w:r>
        <w:rPr>
          <w:spacing w:val="-15"/>
        </w:rPr>
        <w:t> </w:t>
      </w:r>
      <w:r>
        <w:rPr/>
        <w:t>42</w:t>
      </w:r>
      <w:r>
        <w:rPr>
          <w:spacing w:val="-10"/>
        </w:rPr>
        <w:t> </w:t>
      </w:r>
      <w:r>
        <w:rPr/>
        <w:t>hari,</w:t>
      </w:r>
      <w:r>
        <w:rPr>
          <w:spacing w:val="-9"/>
        </w:rPr>
        <w:t> </w:t>
      </w:r>
      <w:r>
        <w:rPr/>
        <w:t>yang</w:t>
      </w:r>
      <w:r>
        <w:rPr>
          <w:spacing w:val="-12"/>
        </w:rPr>
        <w:t> </w:t>
      </w:r>
      <w:r>
        <w:rPr/>
        <w:t>adalah</w:t>
      </w:r>
      <w:r>
        <w:rPr>
          <w:spacing w:val="-10"/>
        </w:rPr>
        <w:t> </w:t>
      </w:r>
      <w:r>
        <w:rPr/>
        <w:t>tercepat</w:t>
      </w:r>
      <w:r>
        <w:rPr>
          <w:spacing w:val="-9"/>
        </w:rPr>
        <w:t> </w:t>
      </w:r>
      <w:r>
        <w:rPr/>
        <w:t>dalam sejarah DPR, akan sulit diselesaikan jika belum dilakukan penelitian dan rekomendasi untuk meresponnya.</w:t>
      </w:r>
    </w:p>
    <w:p>
      <w:pPr>
        <w:pStyle w:val="BodyText"/>
        <w:spacing w:line="360" w:lineRule="auto" w:before="5"/>
        <w:ind w:left="566" w:right="766" w:firstLine="710"/>
      </w:pPr>
      <w:r>
        <w:rPr/>
        <w:t>Absennya penelitian tentang hal ini sampai kini, sementara implementasi pembangunan fisik ibukota Nusantara sudah dimulai sejak </w:t>
      </w:r>
      <w:r>
        <w:rPr>
          <w:spacing w:val="-4"/>
        </w:rPr>
        <w:t>beberapa</w:t>
      </w:r>
      <w:r>
        <w:rPr>
          <w:spacing w:val="-6"/>
        </w:rPr>
        <w:t> </w:t>
      </w:r>
      <w:r>
        <w:rPr>
          <w:spacing w:val="-4"/>
        </w:rPr>
        <w:t>bulan</w:t>
      </w:r>
      <w:r>
        <w:rPr>
          <w:spacing w:val="-6"/>
        </w:rPr>
        <w:t> </w:t>
      </w:r>
      <w:r>
        <w:rPr>
          <w:spacing w:val="-4"/>
        </w:rPr>
        <w:t>sebelum penelitian</w:t>
      </w:r>
      <w:r>
        <w:rPr>
          <w:spacing w:val="-6"/>
        </w:rPr>
        <w:t> </w:t>
      </w:r>
      <w:r>
        <w:rPr>
          <w:spacing w:val="-4"/>
        </w:rPr>
        <w:t>ini</w:t>
      </w:r>
      <w:r>
        <w:rPr>
          <w:spacing w:val="-5"/>
        </w:rPr>
        <w:t> </w:t>
      </w:r>
      <w:r>
        <w:rPr>
          <w:spacing w:val="-4"/>
        </w:rPr>
        <w:t>dilaksanakan, akan</w:t>
      </w:r>
      <w:r>
        <w:rPr>
          <w:spacing w:val="-6"/>
        </w:rPr>
        <w:t> </w:t>
      </w:r>
      <w:r>
        <w:rPr>
          <w:spacing w:val="-4"/>
        </w:rPr>
        <w:t>menyulitkan</w:t>
      </w:r>
      <w:r>
        <w:rPr>
          <w:spacing w:val="-6"/>
        </w:rPr>
        <w:t> </w:t>
      </w:r>
      <w:r>
        <w:rPr>
          <w:spacing w:val="-4"/>
        </w:rPr>
        <w:t>upaya </w:t>
      </w:r>
      <w:r>
        <w:rPr/>
        <w:t>mencari jalan keluar (solusi) terhadap kemungkinan berbagai konflik yang </w:t>
      </w:r>
      <w:r>
        <w:rPr>
          <w:spacing w:val="-6"/>
        </w:rPr>
        <w:t>muncul untuk diselesaikan. Sebagai konsekuensinya, aktivitas pemerintahan di ibukota</w:t>
      </w:r>
      <w:r>
        <w:rPr>
          <w:spacing w:val="-11"/>
        </w:rPr>
        <w:t> </w:t>
      </w:r>
      <w:r>
        <w:rPr>
          <w:spacing w:val="-6"/>
        </w:rPr>
        <w:t>baru</w:t>
      </w:r>
      <w:r>
        <w:rPr>
          <w:spacing w:val="-10"/>
        </w:rPr>
        <w:t> </w:t>
      </w:r>
      <w:r>
        <w:rPr>
          <w:spacing w:val="-6"/>
        </w:rPr>
        <w:t>Indonesia</w:t>
      </w:r>
      <w:r>
        <w:rPr>
          <w:spacing w:val="-11"/>
        </w:rPr>
        <w:t> </w:t>
      </w:r>
      <w:r>
        <w:rPr>
          <w:spacing w:val="-6"/>
        </w:rPr>
        <w:t>akan</w:t>
      </w:r>
      <w:r>
        <w:rPr>
          <w:spacing w:val="-10"/>
        </w:rPr>
        <w:t> </w:t>
      </w:r>
      <w:r>
        <w:rPr>
          <w:spacing w:val="-6"/>
        </w:rPr>
        <w:t>terganggu,</w:t>
      </w:r>
      <w:r>
        <w:rPr>
          <w:spacing w:val="-8"/>
        </w:rPr>
        <w:t> </w:t>
      </w:r>
      <w:r>
        <w:rPr>
          <w:spacing w:val="-6"/>
        </w:rPr>
        <w:t>dengan</w:t>
      </w:r>
      <w:r>
        <w:rPr>
          <w:spacing w:val="-4"/>
        </w:rPr>
        <w:t> </w:t>
      </w:r>
      <w:r>
        <w:rPr>
          <w:spacing w:val="-6"/>
        </w:rPr>
        <w:t>membawa dampak</w:t>
      </w:r>
      <w:r>
        <w:rPr>
          <w:spacing w:val="-9"/>
        </w:rPr>
        <w:t> </w:t>
      </w:r>
      <w:r>
        <w:rPr>
          <w:spacing w:val="-6"/>
        </w:rPr>
        <w:t>yang</w:t>
      </w:r>
      <w:r>
        <w:rPr>
          <w:spacing w:val="-11"/>
        </w:rPr>
        <w:t> </w:t>
      </w:r>
      <w:r>
        <w:rPr>
          <w:spacing w:val="-6"/>
        </w:rPr>
        <w:t>luas. </w:t>
      </w:r>
      <w:r>
        <w:rPr/>
        <w:t>Karena itu, penelitian mengenai konflik kelembagaan yang dapat muncul </w:t>
      </w:r>
      <w:r>
        <w:rPr>
          <w:spacing w:val="-4"/>
        </w:rPr>
        <w:t>sewaktu-waktu</w:t>
      </w:r>
      <w:r>
        <w:rPr>
          <w:spacing w:val="-6"/>
        </w:rPr>
        <w:t> </w:t>
      </w:r>
      <w:r>
        <w:rPr>
          <w:spacing w:val="-4"/>
        </w:rPr>
        <w:t>di</w:t>
      </w:r>
      <w:r>
        <w:rPr>
          <w:spacing w:val="-5"/>
        </w:rPr>
        <w:t> </w:t>
      </w:r>
      <w:r>
        <w:rPr>
          <w:spacing w:val="-4"/>
        </w:rPr>
        <w:t>masa</w:t>
      </w:r>
      <w:r>
        <w:rPr>
          <w:spacing w:val="-6"/>
        </w:rPr>
        <w:t> </w:t>
      </w:r>
      <w:r>
        <w:rPr>
          <w:spacing w:val="-4"/>
        </w:rPr>
        <w:t>depan</w:t>
      </w:r>
      <w:r>
        <w:rPr>
          <w:spacing w:val="-6"/>
        </w:rPr>
        <w:t> </w:t>
      </w:r>
      <w:r>
        <w:rPr>
          <w:spacing w:val="-4"/>
        </w:rPr>
        <w:t>antara</w:t>
      </w:r>
      <w:r>
        <w:rPr>
          <w:spacing w:val="-6"/>
        </w:rPr>
        <w:t> </w:t>
      </w:r>
      <w:r>
        <w:rPr>
          <w:spacing w:val="-4"/>
        </w:rPr>
        <w:t>pemerintah</w:t>
      </w:r>
      <w:r>
        <w:rPr>
          <w:spacing w:val="-6"/>
        </w:rPr>
        <w:t> </w:t>
      </w:r>
      <w:r>
        <w:rPr>
          <w:spacing w:val="-4"/>
        </w:rPr>
        <w:t>pusat di ibukota</w:t>
      </w:r>
      <w:r>
        <w:rPr>
          <w:spacing w:val="-7"/>
        </w:rPr>
        <w:t> </w:t>
      </w:r>
      <w:r>
        <w:rPr>
          <w:spacing w:val="-4"/>
        </w:rPr>
        <w:t>Nusantara </w:t>
      </w:r>
      <w:r>
        <w:rPr/>
        <w:t>dan pemerintah wilayah setempat Provinsi Kalimantan Timur tempat berlokasinya</w:t>
      </w:r>
      <w:r>
        <w:rPr>
          <w:spacing w:val="-5"/>
        </w:rPr>
        <w:t> </w:t>
      </w:r>
      <w:r>
        <w:rPr/>
        <w:t>ibukota</w:t>
      </w:r>
      <w:r>
        <w:rPr>
          <w:spacing w:val="-5"/>
        </w:rPr>
        <w:t> </w:t>
      </w:r>
      <w:r>
        <w:rPr/>
        <w:t>baru</w:t>
      </w:r>
      <w:r>
        <w:rPr>
          <w:spacing w:val="-5"/>
        </w:rPr>
        <w:t> </w:t>
      </w:r>
      <w:r>
        <w:rPr/>
        <w:t>itu,</w:t>
      </w:r>
      <w:r>
        <w:rPr>
          <w:spacing w:val="-3"/>
        </w:rPr>
        <w:t> </w:t>
      </w:r>
      <w:r>
        <w:rPr/>
        <w:t>menjadi</w:t>
      </w:r>
      <w:r>
        <w:rPr>
          <w:spacing w:val="-4"/>
        </w:rPr>
        <w:t> </w:t>
      </w:r>
      <w:r>
        <w:rPr/>
        <w:t>penting</w:t>
      </w:r>
      <w:r>
        <w:rPr>
          <w:spacing w:val="-5"/>
        </w:rPr>
        <w:t> </w:t>
      </w:r>
      <w:r>
        <w:rPr/>
        <w:t>dan</w:t>
      </w:r>
      <w:r>
        <w:rPr>
          <w:spacing w:val="-5"/>
        </w:rPr>
        <w:t> </w:t>
      </w:r>
      <w:r>
        <w:rPr/>
        <w:t>bernilai</w:t>
      </w:r>
      <w:r>
        <w:rPr>
          <w:spacing w:val="-3"/>
        </w:rPr>
        <w:t> </w:t>
      </w:r>
      <w:r>
        <w:rPr/>
        <w:t>strategis</w:t>
      </w:r>
      <w:r>
        <w:rPr>
          <w:spacing w:val="-5"/>
        </w:rPr>
        <w:t> </w:t>
      </w:r>
      <w:r>
        <w:rPr/>
        <w:t>untuk dilakukan demi menjamin kontinuitas kegiatan pemerintahan di Ibukota Nusantara di masa depan.</w:t>
      </w:r>
    </w:p>
    <w:p>
      <w:pPr>
        <w:pStyle w:val="BodyText"/>
        <w:jc w:val="left"/>
      </w:pPr>
    </w:p>
    <w:p>
      <w:pPr>
        <w:pStyle w:val="BodyText"/>
        <w:spacing w:before="78"/>
        <w:jc w:val="left"/>
      </w:pPr>
    </w:p>
    <w:p>
      <w:pPr>
        <w:pStyle w:val="Heading2"/>
        <w:numPr>
          <w:ilvl w:val="3"/>
          <w:numId w:val="7"/>
        </w:numPr>
        <w:tabs>
          <w:tab w:pos="1039" w:val="left" w:leader="none"/>
        </w:tabs>
        <w:spacing w:line="240" w:lineRule="auto" w:before="0" w:after="0"/>
        <w:ind w:left="1039" w:right="0" w:hanging="406"/>
        <w:jc w:val="both"/>
      </w:pPr>
      <w:bookmarkStart w:name="_bookmark11" w:id="12"/>
      <w:bookmarkEnd w:id="12"/>
      <w:r>
        <w:rPr>
          <w:b w:val="0"/>
        </w:rPr>
      </w:r>
      <w:r>
        <w:rPr/>
        <w:t>Konsep</w:t>
      </w:r>
      <w:r>
        <w:rPr>
          <w:spacing w:val="-7"/>
        </w:rPr>
        <w:t> </w:t>
      </w:r>
      <w:r>
        <w:rPr/>
        <w:t>Demokrasi</w:t>
      </w:r>
      <w:r>
        <w:rPr>
          <w:spacing w:val="-6"/>
        </w:rPr>
        <w:t> </w:t>
      </w:r>
      <w:r>
        <w:rPr/>
        <w:t>dan</w:t>
      </w:r>
      <w:r>
        <w:rPr>
          <w:spacing w:val="-7"/>
        </w:rPr>
        <w:t> </w:t>
      </w:r>
      <w:r>
        <w:rPr>
          <w:spacing w:val="-2"/>
        </w:rPr>
        <w:t>Desentralisasi</w:t>
      </w:r>
    </w:p>
    <w:p>
      <w:pPr>
        <w:pStyle w:val="BodyText"/>
        <w:spacing w:line="360" w:lineRule="auto" w:before="224"/>
        <w:ind w:left="566" w:right="767" w:firstLine="710"/>
      </w:pPr>
      <w:r>
        <w:rPr/>
        <w:t>Perkembangan demokrasi telah membawa perubahan tuntutan masyarakat daerah untuk dapat mengelola urusannya sendiri, daripada diserahkan kepada pemerintah pusat (sentralisasi). Dalam perspektif ini, </w:t>
      </w:r>
      <w:r>
        <w:rPr>
          <w:spacing w:val="-2"/>
        </w:rPr>
        <w:t>diasumsikan</w:t>
      </w:r>
      <w:r>
        <w:rPr>
          <w:spacing w:val="-15"/>
        </w:rPr>
        <w:t> </w:t>
      </w:r>
      <w:r>
        <w:rPr>
          <w:spacing w:val="-2"/>
        </w:rPr>
        <w:t>bahwa</w:t>
      </w:r>
      <w:r>
        <w:rPr>
          <w:spacing w:val="-14"/>
        </w:rPr>
        <w:t> </w:t>
      </w:r>
      <w:r>
        <w:rPr>
          <w:spacing w:val="-2"/>
        </w:rPr>
        <w:t>pemerintah</w:t>
      </w:r>
      <w:r>
        <w:rPr>
          <w:spacing w:val="-15"/>
        </w:rPr>
        <w:t> </w:t>
      </w:r>
      <w:r>
        <w:rPr>
          <w:spacing w:val="-2"/>
        </w:rPr>
        <w:t>akan</w:t>
      </w:r>
      <w:r>
        <w:rPr>
          <w:spacing w:val="-14"/>
        </w:rPr>
        <w:t> </w:t>
      </w:r>
      <w:r>
        <w:rPr>
          <w:spacing w:val="-2"/>
        </w:rPr>
        <w:t>bekerja</w:t>
      </w:r>
      <w:r>
        <w:rPr>
          <w:spacing w:val="-15"/>
        </w:rPr>
        <w:t> </w:t>
      </w:r>
      <w:r>
        <w:rPr>
          <w:spacing w:val="-2"/>
        </w:rPr>
        <w:t>lebih</w:t>
      </w:r>
      <w:r>
        <w:rPr>
          <w:spacing w:val="-14"/>
        </w:rPr>
        <w:t> </w:t>
      </w:r>
      <w:r>
        <w:rPr>
          <w:spacing w:val="-2"/>
        </w:rPr>
        <w:t>baik</w:t>
      </w:r>
      <w:r>
        <w:rPr>
          <w:spacing w:val="-15"/>
        </w:rPr>
        <w:t> </w:t>
      </w:r>
      <w:r>
        <w:rPr>
          <w:spacing w:val="-2"/>
        </w:rPr>
        <w:t>ketika</w:t>
      </w:r>
      <w:r>
        <w:rPr>
          <w:spacing w:val="-14"/>
        </w:rPr>
        <w:t> </w:t>
      </w:r>
      <w:r>
        <w:rPr>
          <w:spacing w:val="-2"/>
        </w:rPr>
        <w:t>institusi</w:t>
      </w:r>
      <w:r>
        <w:rPr>
          <w:spacing w:val="-14"/>
        </w:rPr>
        <w:t> </w:t>
      </w:r>
      <w:r>
        <w:rPr>
          <w:spacing w:val="-2"/>
        </w:rPr>
        <w:t>politik </w:t>
      </w:r>
      <w:r>
        <w:rPr>
          <w:spacing w:val="-4"/>
        </w:rPr>
        <w:t>menyebarkan</w:t>
      </w:r>
      <w:r>
        <w:rPr>
          <w:spacing w:val="-6"/>
        </w:rPr>
        <w:t> </w:t>
      </w:r>
      <w:r>
        <w:rPr>
          <w:spacing w:val="-4"/>
        </w:rPr>
        <w:t>kekuasaan</w:t>
      </w:r>
      <w:r>
        <w:rPr>
          <w:spacing w:val="-5"/>
        </w:rPr>
        <w:t> </w:t>
      </w:r>
      <w:r>
        <w:rPr>
          <w:spacing w:val="-4"/>
        </w:rPr>
        <w:t>melalui</w:t>
      </w:r>
      <w:r>
        <w:rPr>
          <w:spacing w:val="-5"/>
        </w:rPr>
        <w:t> </w:t>
      </w:r>
      <w:r>
        <w:rPr>
          <w:spacing w:val="-4"/>
        </w:rPr>
        <w:t>badan-badan yang</w:t>
      </w:r>
      <w:r>
        <w:rPr>
          <w:spacing w:val="-7"/>
        </w:rPr>
        <w:t> </w:t>
      </w:r>
      <w:r>
        <w:rPr>
          <w:spacing w:val="-4"/>
        </w:rPr>
        <w:t>banyak dan</w:t>
      </w:r>
      <w:r>
        <w:rPr>
          <w:spacing w:val="-6"/>
        </w:rPr>
        <w:t> </w:t>
      </w:r>
      <w:r>
        <w:rPr>
          <w:spacing w:val="-4"/>
        </w:rPr>
        <w:t>independen </w:t>
      </w:r>
      <w:r>
        <w:rPr>
          <w:spacing w:val="-2"/>
        </w:rPr>
        <w:t>(Gering</w:t>
      </w:r>
      <w:r>
        <w:rPr>
          <w:spacing w:val="-15"/>
        </w:rPr>
        <w:t> </w:t>
      </w:r>
      <w:r>
        <w:rPr>
          <w:spacing w:val="-2"/>
        </w:rPr>
        <w:t>&amp;</w:t>
      </w:r>
      <w:r>
        <w:rPr>
          <w:spacing w:val="-14"/>
        </w:rPr>
        <w:t> </w:t>
      </w:r>
      <w:r>
        <w:rPr>
          <w:spacing w:val="-2"/>
        </w:rPr>
        <w:t>Thacker,</w:t>
      </w:r>
      <w:r>
        <w:rPr>
          <w:spacing w:val="-11"/>
        </w:rPr>
        <w:t> </w:t>
      </w:r>
      <w:r>
        <w:rPr>
          <w:spacing w:val="-2"/>
        </w:rPr>
        <w:t>2008:2).</w:t>
      </w:r>
      <w:r>
        <w:rPr>
          <w:spacing w:val="-12"/>
        </w:rPr>
        <w:t> </w:t>
      </w:r>
      <w:r>
        <w:rPr>
          <w:spacing w:val="-2"/>
        </w:rPr>
        <w:t>Hal</w:t>
      </w:r>
      <w:r>
        <w:rPr>
          <w:spacing w:val="-15"/>
        </w:rPr>
        <w:t> </w:t>
      </w:r>
      <w:r>
        <w:rPr>
          <w:spacing w:val="-2"/>
        </w:rPr>
        <w:t>ini</w:t>
      </w:r>
      <w:r>
        <w:rPr>
          <w:spacing w:val="-14"/>
        </w:rPr>
        <w:t> </w:t>
      </w:r>
      <w:r>
        <w:rPr>
          <w:spacing w:val="-2"/>
        </w:rPr>
        <w:t>telah</w:t>
      </w:r>
      <w:r>
        <w:rPr>
          <w:spacing w:val="-15"/>
        </w:rPr>
        <w:t> </w:t>
      </w:r>
      <w:r>
        <w:rPr>
          <w:spacing w:val="-2"/>
        </w:rPr>
        <w:t>menghadirkan</w:t>
      </w:r>
      <w:r>
        <w:rPr>
          <w:spacing w:val="-14"/>
        </w:rPr>
        <w:t> </w:t>
      </w:r>
      <w:r>
        <w:rPr>
          <w:spacing w:val="-2"/>
        </w:rPr>
        <w:t>konsep</w:t>
      </w:r>
      <w:r>
        <w:rPr>
          <w:spacing w:val="-10"/>
        </w:rPr>
        <w:t> </w:t>
      </w:r>
      <w:r>
        <w:rPr>
          <w:spacing w:val="-2"/>
        </w:rPr>
        <w:t>desentralisasi </w:t>
      </w:r>
      <w:r>
        <w:rPr/>
        <w:t>dalam sistem pemerintahan di dunia. Desentralisasi dirumuskan sebagai pelemahan kewenangan pusat dan mendistribusikan fungsinya di antara cabang-cabang atau badan administrasi lokal (Gering, Thacker &amp; Moreno,</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6"/>
      </w:pPr>
      <w:r>
        <w:rPr/>
        <w:t>2004: 4 -11). Dalam bahasa senada, desentralisasi merupakan penguatan </w:t>
      </w:r>
      <w:r>
        <w:rPr>
          <w:spacing w:val="-6"/>
        </w:rPr>
        <w:t>pemerintah</w:t>
      </w:r>
      <w:r>
        <w:rPr>
          <w:spacing w:val="-10"/>
        </w:rPr>
        <w:t> </w:t>
      </w:r>
      <w:r>
        <w:rPr>
          <w:spacing w:val="-6"/>
        </w:rPr>
        <w:t>lokal</w:t>
      </w:r>
      <w:r>
        <w:rPr>
          <w:spacing w:val="-10"/>
        </w:rPr>
        <w:t> </w:t>
      </w:r>
      <w:r>
        <w:rPr>
          <w:spacing w:val="-6"/>
        </w:rPr>
        <w:t>melalui transfer kekuasaan</w:t>
      </w:r>
      <w:r>
        <w:rPr>
          <w:spacing w:val="-10"/>
        </w:rPr>
        <w:t> </w:t>
      </w:r>
      <w:r>
        <w:rPr>
          <w:spacing w:val="-6"/>
        </w:rPr>
        <w:t>dan sumber daya dari</w:t>
      </w:r>
      <w:r>
        <w:rPr>
          <w:spacing w:val="-10"/>
        </w:rPr>
        <w:t> </w:t>
      </w:r>
      <w:r>
        <w:rPr>
          <w:spacing w:val="-6"/>
        </w:rPr>
        <w:t>pemerintah </w:t>
      </w:r>
      <w:r>
        <w:rPr/>
        <w:t>pusat. Dalam perkembangannya, para ahli sepakat bahwa desentralisasi </w:t>
      </w:r>
      <w:r>
        <w:rPr>
          <w:spacing w:val="-4"/>
        </w:rPr>
        <w:t>memiliki</w:t>
      </w:r>
      <w:r>
        <w:rPr>
          <w:spacing w:val="-9"/>
        </w:rPr>
        <w:t> </w:t>
      </w:r>
      <w:r>
        <w:rPr>
          <w:spacing w:val="-4"/>
        </w:rPr>
        <w:t>ciri-ciri pembagian</w:t>
      </w:r>
      <w:r>
        <w:rPr>
          <w:spacing w:val="-5"/>
        </w:rPr>
        <w:t> </w:t>
      </w:r>
      <w:r>
        <w:rPr>
          <w:spacing w:val="-4"/>
        </w:rPr>
        <w:t>kekuasaan, partisipasi politik</w:t>
      </w:r>
      <w:r>
        <w:rPr>
          <w:spacing w:val="-8"/>
        </w:rPr>
        <w:t> </w:t>
      </w:r>
      <w:r>
        <w:rPr>
          <w:spacing w:val="-4"/>
        </w:rPr>
        <w:t>yang</w:t>
      </w:r>
      <w:r>
        <w:rPr>
          <w:spacing w:val="-10"/>
        </w:rPr>
        <w:t> </w:t>
      </w:r>
      <w:r>
        <w:rPr>
          <w:spacing w:val="-4"/>
        </w:rPr>
        <w:t>lebih</w:t>
      </w:r>
      <w:r>
        <w:rPr>
          <w:spacing w:val="-10"/>
        </w:rPr>
        <w:t> </w:t>
      </w:r>
      <w:r>
        <w:rPr>
          <w:spacing w:val="-4"/>
        </w:rPr>
        <w:t>luas, dan </w:t>
      </w:r>
      <w:r>
        <w:rPr>
          <w:spacing w:val="-2"/>
        </w:rPr>
        <w:t>pembatasan</w:t>
      </w:r>
      <w:r>
        <w:rPr>
          <w:spacing w:val="-7"/>
        </w:rPr>
        <w:t> </w:t>
      </w:r>
      <w:r>
        <w:rPr>
          <w:spacing w:val="-2"/>
        </w:rPr>
        <w:t>tindakan</w:t>
      </w:r>
      <w:r>
        <w:rPr>
          <w:spacing w:val="-8"/>
        </w:rPr>
        <w:t> </w:t>
      </w:r>
      <w:r>
        <w:rPr>
          <w:spacing w:val="-2"/>
        </w:rPr>
        <w:t>pemerintah (Gering</w:t>
      </w:r>
      <w:r>
        <w:rPr>
          <w:spacing w:val="-9"/>
        </w:rPr>
        <w:t> </w:t>
      </w:r>
      <w:r>
        <w:rPr>
          <w:spacing w:val="-2"/>
        </w:rPr>
        <w:t>&amp; Thacker, 2008:8).</w:t>
      </w:r>
      <w:r>
        <w:rPr>
          <w:spacing w:val="-5"/>
        </w:rPr>
        <w:t> </w:t>
      </w:r>
      <w:r>
        <w:rPr>
          <w:spacing w:val="-2"/>
        </w:rPr>
        <w:t>Desentralisasi </w:t>
      </w:r>
      <w:r>
        <w:rPr>
          <w:spacing w:val="-4"/>
        </w:rPr>
        <w:t>telah</w:t>
      </w:r>
      <w:r>
        <w:rPr>
          <w:spacing w:val="-13"/>
        </w:rPr>
        <w:t> </w:t>
      </w:r>
      <w:r>
        <w:rPr>
          <w:spacing w:val="-4"/>
        </w:rPr>
        <w:t>menjadi</w:t>
      </w:r>
      <w:r>
        <w:rPr>
          <w:spacing w:val="-12"/>
        </w:rPr>
        <w:t> </w:t>
      </w:r>
      <w:r>
        <w:rPr>
          <w:spacing w:val="-4"/>
        </w:rPr>
        <w:t>trend</w:t>
      </w:r>
      <w:r>
        <w:rPr>
          <w:spacing w:val="-13"/>
        </w:rPr>
        <w:t> </w:t>
      </w:r>
      <w:r>
        <w:rPr>
          <w:spacing w:val="-4"/>
        </w:rPr>
        <w:t>dunia</w:t>
      </w:r>
      <w:r>
        <w:rPr>
          <w:spacing w:val="-12"/>
        </w:rPr>
        <w:t> </w:t>
      </w:r>
      <w:r>
        <w:rPr>
          <w:spacing w:val="-4"/>
        </w:rPr>
        <w:t>untuk</w:t>
      </w:r>
      <w:r>
        <w:rPr>
          <w:spacing w:val="-13"/>
        </w:rPr>
        <w:t> </w:t>
      </w:r>
      <w:r>
        <w:rPr>
          <w:spacing w:val="-4"/>
        </w:rPr>
        <w:t>meningkatkan</w:t>
      </w:r>
      <w:r>
        <w:rPr>
          <w:spacing w:val="-10"/>
        </w:rPr>
        <w:t> </w:t>
      </w:r>
      <w:r>
        <w:rPr>
          <w:spacing w:val="-4"/>
        </w:rPr>
        <w:t>kualitas</w:t>
      </w:r>
      <w:r>
        <w:rPr>
          <w:spacing w:val="-13"/>
        </w:rPr>
        <w:t> </w:t>
      </w:r>
      <w:r>
        <w:rPr>
          <w:spacing w:val="-4"/>
        </w:rPr>
        <w:t>pemerintahan.</w:t>
      </w:r>
      <w:r>
        <w:rPr>
          <w:spacing w:val="-11"/>
        </w:rPr>
        <w:t> </w:t>
      </w:r>
      <w:r>
        <w:rPr>
          <w:spacing w:val="-4"/>
        </w:rPr>
        <w:t>Tujuan </w:t>
      </w:r>
      <w:r>
        <w:rPr/>
        <w:t>dari desentralisasi dapat dilihat dari dua aspek, yakni tujuan ekonomi </w:t>
      </w:r>
      <w:r>
        <w:rPr>
          <w:spacing w:val="-2"/>
        </w:rPr>
        <w:t>(economic</w:t>
      </w:r>
      <w:r>
        <w:rPr>
          <w:spacing w:val="-12"/>
        </w:rPr>
        <w:t> </w:t>
      </w:r>
      <w:r>
        <w:rPr>
          <w:spacing w:val="-2"/>
        </w:rPr>
        <w:t>decentralization)</w:t>
      </w:r>
      <w:r>
        <w:rPr>
          <w:spacing w:val="-10"/>
        </w:rPr>
        <w:t> </w:t>
      </w:r>
      <w:r>
        <w:rPr>
          <w:spacing w:val="-2"/>
        </w:rPr>
        <w:t>dan</w:t>
      </w:r>
      <w:r>
        <w:rPr>
          <w:spacing w:val="-9"/>
        </w:rPr>
        <w:t> </w:t>
      </w:r>
      <w:r>
        <w:rPr>
          <w:spacing w:val="-2"/>
        </w:rPr>
        <w:t>tujuan</w:t>
      </w:r>
      <w:r>
        <w:rPr>
          <w:spacing w:val="-9"/>
        </w:rPr>
        <w:t> </w:t>
      </w:r>
      <w:r>
        <w:rPr>
          <w:spacing w:val="-2"/>
        </w:rPr>
        <w:t>politik</w:t>
      </w:r>
      <w:r>
        <w:rPr>
          <w:spacing w:val="-11"/>
        </w:rPr>
        <w:t> </w:t>
      </w:r>
      <w:r>
        <w:rPr>
          <w:spacing w:val="-2"/>
        </w:rPr>
        <w:t>(democratic</w:t>
      </w:r>
      <w:r>
        <w:rPr>
          <w:spacing w:val="-12"/>
        </w:rPr>
        <w:t> </w:t>
      </w:r>
      <w:r>
        <w:rPr>
          <w:spacing w:val="-2"/>
        </w:rPr>
        <w:t>decentralization). </w:t>
      </w:r>
      <w:r>
        <w:rPr/>
        <w:t>Terkait dengan tujuan ekonomi, tujuan desentralisasi yaitu untuk meningkatkan</w:t>
      </w:r>
      <w:r>
        <w:rPr>
          <w:spacing w:val="-17"/>
        </w:rPr>
        <w:t> </w:t>
      </w:r>
      <w:r>
        <w:rPr/>
        <w:t>kemampuan</w:t>
      </w:r>
      <w:r>
        <w:rPr>
          <w:spacing w:val="-16"/>
        </w:rPr>
        <w:t> </w:t>
      </w:r>
      <w:r>
        <w:rPr/>
        <w:t>pemerintah</w:t>
      </w:r>
      <w:r>
        <w:rPr>
          <w:spacing w:val="-17"/>
        </w:rPr>
        <w:t> </w:t>
      </w:r>
      <w:r>
        <w:rPr/>
        <w:t>daerah</w:t>
      </w:r>
      <w:r>
        <w:rPr>
          <w:spacing w:val="-16"/>
        </w:rPr>
        <w:t> </w:t>
      </w:r>
      <w:r>
        <w:rPr/>
        <w:t>dalam</w:t>
      </w:r>
      <w:r>
        <w:rPr>
          <w:spacing w:val="-17"/>
        </w:rPr>
        <w:t> </w:t>
      </w:r>
      <w:r>
        <w:rPr/>
        <w:t>menyediakan</w:t>
      </w:r>
      <w:r>
        <w:rPr>
          <w:spacing w:val="-16"/>
        </w:rPr>
        <w:t> </w:t>
      </w:r>
      <w:r>
        <w:rPr/>
        <w:t>barang dan jasa publik, serta untuk menciptakan efisiensi dan efektivitas </w:t>
      </w:r>
      <w:r>
        <w:rPr>
          <w:spacing w:val="-2"/>
        </w:rPr>
        <w:t>pembangunan</w:t>
      </w:r>
      <w:r>
        <w:rPr>
          <w:spacing w:val="-11"/>
        </w:rPr>
        <w:t> </w:t>
      </w:r>
      <w:r>
        <w:rPr>
          <w:spacing w:val="-2"/>
        </w:rPr>
        <w:t>ekonomi</w:t>
      </w:r>
      <w:r>
        <w:rPr>
          <w:spacing w:val="-10"/>
        </w:rPr>
        <w:t> </w:t>
      </w:r>
      <w:r>
        <w:rPr>
          <w:spacing w:val="-2"/>
        </w:rPr>
        <w:t>di</w:t>
      </w:r>
      <w:r>
        <w:rPr>
          <w:spacing w:val="-10"/>
        </w:rPr>
        <w:t> </w:t>
      </w:r>
      <w:r>
        <w:rPr>
          <w:spacing w:val="-2"/>
        </w:rPr>
        <w:t>daerah</w:t>
      </w:r>
      <w:r>
        <w:rPr>
          <w:spacing w:val="-11"/>
        </w:rPr>
        <w:t> </w:t>
      </w:r>
      <w:r>
        <w:rPr>
          <w:spacing w:val="-2"/>
        </w:rPr>
        <w:t>(Rondinelli,</w:t>
      </w:r>
      <w:r>
        <w:rPr>
          <w:spacing w:val="-13"/>
        </w:rPr>
        <w:t> </w:t>
      </w:r>
      <w:r>
        <w:rPr>
          <w:spacing w:val="-2"/>
        </w:rPr>
        <w:t>1983:4).</w:t>
      </w:r>
      <w:r>
        <w:rPr>
          <w:spacing w:val="-14"/>
        </w:rPr>
        <w:t> </w:t>
      </w:r>
      <w:r>
        <w:rPr>
          <w:spacing w:val="-2"/>
        </w:rPr>
        <w:t>Melalui</w:t>
      </w:r>
      <w:r>
        <w:rPr>
          <w:spacing w:val="-10"/>
        </w:rPr>
        <w:t> </w:t>
      </w:r>
      <w:r>
        <w:rPr>
          <w:spacing w:val="-2"/>
        </w:rPr>
        <w:t>desentralisasi </w:t>
      </w:r>
      <w:r>
        <w:rPr/>
        <w:t>rakyat diberikan pilihan terhadap barang dan jasa publik yang disediakan pemerintah, yang pada akhirnya akan meningkatkan kesejahteraan masyarakat. Desentralisasi juga dipercaya dapat meningkatkan partisipasi politik masyarakat yang pada akhirnya akan mempengaruhi pembagunan </w:t>
      </w:r>
      <w:r>
        <w:rPr>
          <w:spacing w:val="-6"/>
        </w:rPr>
        <w:t>sosial</w:t>
      </w:r>
      <w:r>
        <w:rPr>
          <w:spacing w:val="-11"/>
        </w:rPr>
        <w:t> </w:t>
      </w:r>
      <w:r>
        <w:rPr>
          <w:spacing w:val="-6"/>
        </w:rPr>
        <w:t>ekonomi</w:t>
      </w:r>
      <w:r>
        <w:rPr>
          <w:spacing w:val="-9"/>
        </w:rPr>
        <w:t> </w:t>
      </w:r>
      <w:r>
        <w:rPr>
          <w:spacing w:val="-6"/>
        </w:rPr>
        <w:t>ke</w:t>
      </w:r>
      <w:r>
        <w:rPr>
          <w:spacing w:val="-10"/>
        </w:rPr>
        <w:t> </w:t>
      </w:r>
      <w:r>
        <w:rPr>
          <w:spacing w:val="-6"/>
        </w:rPr>
        <w:t>arah</w:t>
      </w:r>
      <w:r>
        <w:rPr>
          <w:spacing w:val="-10"/>
        </w:rPr>
        <w:t> </w:t>
      </w:r>
      <w:r>
        <w:rPr>
          <w:spacing w:val="-6"/>
        </w:rPr>
        <w:t>yang</w:t>
      </w:r>
      <w:r>
        <w:rPr>
          <w:spacing w:val="-11"/>
        </w:rPr>
        <w:t> </w:t>
      </w:r>
      <w:r>
        <w:rPr>
          <w:spacing w:val="-6"/>
        </w:rPr>
        <w:t>lebih</w:t>
      </w:r>
      <w:r>
        <w:rPr>
          <w:spacing w:val="-10"/>
        </w:rPr>
        <w:t> </w:t>
      </w:r>
      <w:r>
        <w:rPr>
          <w:spacing w:val="-6"/>
        </w:rPr>
        <w:t>baik</w:t>
      </w:r>
      <w:r>
        <w:rPr>
          <w:spacing w:val="-9"/>
        </w:rPr>
        <w:t> </w:t>
      </w:r>
      <w:r>
        <w:rPr>
          <w:spacing w:val="-6"/>
        </w:rPr>
        <w:t>(Rueland dalam</w:t>
      </w:r>
      <w:r>
        <w:rPr>
          <w:spacing w:val="-10"/>
        </w:rPr>
        <w:t> </w:t>
      </w:r>
      <w:r>
        <w:rPr>
          <w:spacing w:val="-6"/>
        </w:rPr>
        <w:t>Hidayat,</w:t>
      </w:r>
      <w:r>
        <w:rPr>
          <w:spacing w:val="-8"/>
        </w:rPr>
        <w:t> </w:t>
      </w:r>
      <w:r>
        <w:rPr>
          <w:spacing w:val="-6"/>
        </w:rPr>
        <w:t>2014:7).</w:t>
      </w:r>
      <w:r>
        <w:rPr>
          <w:spacing w:val="-8"/>
        </w:rPr>
        <w:t> </w:t>
      </w:r>
      <w:r>
        <w:rPr>
          <w:spacing w:val="-6"/>
        </w:rPr>
        <w:t>Hal</w:t>
      </w:r>
      <w:r>
        <w:rPr>
          <w:spacing w:val="-10"/>
        </w:rPr>
        <w:t> </w:t>
      </w:r>
      <w:r>
        <w:rPr>
          <w:spacing w:val="-6"/>
        </w:rPr>
        <w:t>ini termasuk juga dalam tujuan politik. Dalam pemahaman ini, desentralisasi akan </w:t>
      </w:r>
      <w:r>
        <w:rPr/>
        <w:t>dapat meningkatkan keterampilan dan kemmapuan politik para </w:t>
      </w:r>
      <w:r>
        <w:rPr>
          <w:spacing w:val="-4"/>
        </w:rPr>
        <w:t>penyelenggara</w:t>
      </w:r>
      <w:r>
        <w:rPr>
          <w:spacing w:val="-12"/>
        </w:rPr>
        <w:t> </w:t>
      </w:r>
      <w:r>
        <w:rPr>
          <w:spacing w:val="-4"/>
        </w:rPr>
        <w:t>pemerintah</w:t>
      </w:r>
      <w:r>
        <w:rPr>
          <w:spacing w:val="-7"/>
        </w:rPr>
        <w:t> </w:t>
      </w:r>
      <w:r>
        <w:rPr>
          <w:spacing w:val="-4"/>
        </w:rPr>
        <w:t>dan</w:t>
      </w:r>
      <w:r>
        <w:rPr>
          <w:spacing w:val="-12"/>
        </w:rPr>
        <w:t> </w:t>
      </w:r>
      <w:r>
        <w:rPr>
          <w:spacing w:val="-4"/>
        </w:rPr>
        <w:t>masyarakat</w:t>
      </w:r>
      <w:r>
        <w:rPr>
          <w:spacing w:val="-5"/>
        </w:rPr>
        <w:t> </w:t>
      </w:r>
      <w:r>
        <w:rPr>
          <w:spacing w:val="-4"/>
        </w:rPr>
        <w:t>untuk</w:t>
      </w:r>
      <w:r>
        <w:rPr>
          <w:spacing w:val="-13"/>
        </w:rPr>
        <w:t> </w:t>
      </w:r>
      <w:r>
        <w:rPr>
          <w:spacing w:val="-4"/>
        </w:rPr>
        <w:t>mempertahankan</w:t>
      </w:r>
      <w:r>
        <w:rPr>
          <w:spacing w:val="-11"/>
        </w:rPr>
        <w:t> </w:t>
      </w:r>
      <w:r>
        <w:rPr>
          <w:spacing w:val="-4"/>
        </w:rPr>
        <w:t>integrasi nasional.</w:t>
      </w:r>
      <w:r>
        <w:rPr>
          <w:spacing w:val="-13"/>
        </w:rPr>
        <w:t> </w:t>
      </w:r>
      <w:r>
        <w:rPr>
          <w:spacing w:val="-4"/>
        </w:rPr>
        <w:t>Yluisaker</w:t>
      </w:r>
      <w:r>
        <w:rPr>
          <w:spacing w:val="-12"/>
        </w:rPr>
        <w:t> </w:t>
      </w:r>
      <w:r>
        <w:rPr>
          <w:spacing w:val="-4"/>
        </w:rPr>
        <w:t>(dalam</w:t>
      </w:r>
      <w:r>
        <w:rPr>
          <w:spacing w:val="-13"/>
        </w:rPr>
        <w:t> </w:t>
      </w:r>
      <w:r>
        <w:rPr>
          <w:spacing w:val="-4"/>
        </w:rPr>
        <w:t>Hidayat,</w:t>
      </w:r>
      <w:r>
        <w:rPr>
          <w:spacing w:val="-12"/>
        </w:rPr>
        <w:t> </w:t>
      </w:r>
      <w:r>
        <w:rPr>
          <w:spacing w:val="-4"/>
        </w:rPr>
        <w:t>2014:7)</w:t>
      </w:r>
      <w:r>
        <w:rPr>
          <w:spacing w:val="-13"/>
        </w:rPr>
        <w:t> </w:t>
      </w:r>
      <w:r>
        <w:rPr>
          <w:spacing w:val="-4"/>
        </w:rPr>
        <w:t>menyebutkan</w:t>
      </w:r>
      <w:r>
        <w:rPr>
          <w:spacing w:val="-12"/>
        </w:rPr>
        <w:t> </w:t>
      </w:r>
      <w:r>
        <w:rPr>
          <w:spacing w:val="-4"/>
        </w:rPr>
        <w:t>bahwa</w:t>
      </w:r>
      <w:r>
        <w:rPr>
          <w:spacing w:val="-13"/>
        </w:rPr>
        <w:t> </w:t>
      </w:r>
      <w:r>
        <w:rPr>
          <w:spacing w:val="-4"/>
        </w:rPr>
        <w:t>desentralisasi </w:t>
      </w:r>
      <w:r>
        <w:rPr/>
        <w:t>dapat</w:t>
      </w:r>
      <w:r>
        <w:rPr>
          <w:spacing w:val="-17"/>
        </w:rPr>
        <w:t> </w:t>
      </w:r>
      <w:r>
        <w:rPr/>
        <w:t>menghadirkan</w:t>
      </w:r>
      <w:r>
        <w:rPr>
          <w:spacing w:val="-16"/>
        </w:rPr>
        <w:t> </w:t>
      </w:r>
      <w:r>
        <w:rPr/>
        <w:t>demokrasi</w:t>
      </w:r>
      <w:r>
        <w:rPr>
          <w:spacing w:val="-17"/>
        </w:rPr>
        <w:t> </w:t>
      </w:r>
      <w:r>
        <w:rPr/>
        <w:t>(democratic</w:t>
      </w:r>
      <w:r>
        <w:rPr>
          <w:spacing w:val="-16"/>
        </w:rPr>
        <w:t> </w:t>
      </w:r>
      <w:r>
        <w:rPr/>
        <w:t>decentralization).</w:t>
      </w:r>
      <w:r>
        <w:rPr>
          <w:spacing w:val="-17"/>
        </w:rPr>
        <w:t> </w:t>
      </w:r>
      <w:r>
        <w:rPr/>
        <w:t>Smith</w:t>
      </w:r>
      <w:r>
        <w:rPr>
          <w:spacing w:val="-16"/>
        </w:rPr>
        <w:t> </w:t>
      </w:r>
      <w:r>
        <w:rPr/>
        <w:t>(1985) menyebutkan</w:t>
      </w:r>
      <w:r>
        <w:rPr>
          <w:spacing w:val="-17"/>
        </w:rPr>
        <w:t> </w:t>
      </w:r>
      <w:r>
        <w:rPr/>
        <w:t>ada</w:t>
      </w:r>
      <w:r>
        <w:rPr>
          <w:spacing w:val="-16"/>
        </w:rPr>
        <w:t> </w:t>
      </w:r>
      <w:r>
        <w:rPr/>
        <w:t>tiga</w:t>
      </w:r>
      <w:r>
        <w:rPr>
          <w:spacing w:val="-13"/>
        </w:rPr>
        <w:t> </w:t>
      </w:r>
      <w:r>
        <w:rPr/>
        <w:t>tujuan</w:t>
      </w:r>
      <w:r>
        <w:rPr>
          <w:spacing w:val="-16"/>
        </w:rPr>
        <w:t> </w:t>
      </w:r>
      <w:r>
        <w:rPr/>
        <w:t>dari</w:t>
      </w:r>
      <w:r>
        <w:rPr>
          <w:spacing w:val="-15"/>
        </w:rPr>
        <w:t> </w:t>
      </w:r>
      <w:r>
        <w:rPr/>
        <w:t>desentralisasi</w:t>
      </w:r>
      <w:r>
        <w:rPr>
          <w:spacing w:val="-15"/>
        </w:rPr>
        <w:t> </w:t>
      </w:r>
      <w:r>
        <w:rPr/>
        <w:t>yakni,</w:t>
      </w:r>
      <w:r>
        <w:rPr>
          <w:spacing w:val="-15"/>
        </w:rPr>
        <w:t> </w:t>
      </w:r>
      <w:r>
        <w:rPr/>
        <w:t>pertama,</w:t>
      </w:r>
      <w:r>
        <w:rPr>
          <w:spacing w:val="-17"/>
        </w:rPr>
        <w:t> </w:t>
      </w:r>
      <w:r>
        <w:rPr/>
        <w:t>pendidikan </w:t>
      </w:r>
      <w:r>
        <w:rPr>
          <w:spacing w:val="-2"/>
        </w:rPr>
        <w:t>politik,</w:t>
      </w:r>
      <w:r>
        <w:rPr>
          <w:spacing w:val="-9"/>
        </w:rPr>
        <w:t> </w:t>
      </w:r>
      <w:r>
        <w:rPr>
          <w:spacing w:val="-2"/>
        </w:rPr>
        <w:t>dimana</w:t>
      </w:r>
      <w:r>
        <w:rPr>
          <w:spacing w:val="-10"/>
        </w:rPr>
        <w:t> </w:t>
      </w:r>
      <w:r>
        <w:rPr>
          <w:spacing w:val="-2"/>
        </w:rPr>
        <w:t>masyarakat</w:t>
      </w:r>
      <w:r>
        <w:rPr>
          <w:spacing w:val="-13"/>
        </w:rPr>
        <w:t> </w:t>
      </w:r>
      <w:r>
        <w:rPr>
          <w:spacing w:val="-2"/>
        </w:rPr>
        <w:t>akan</w:t>
      </w:r>
      <w:r>
        <w:rPr>
          <w:spacing w:val="-15"/>
        </w:rPr>
        <w:t> </w:t>
      </w:r>
      <w:r>
        <w:rPr>
          <w:spacing w:val="-2"/>
        </w:rPr>
        <w:t>belajar</w:t>
      </w:r>
      <w:r>
        <w:rPr>
          <w:spacing w:val="-10"/>
        </w:rPr>
        <w:t> </w:t>
      </w:r>
      <w:r>
        <w:rPr>
          <w:spacing w:val="-2"/>
        </w:rPr>
        <w:t>mengenali</w:t>
      </w:r>
      <w:r>
        <w:rPr>
          <w:spacing w:val="-9"/>
        </w:rPr>
        <w:t> </w:t>
      </w:r>
      <w:r>
        <w:rPr>
          <w:spacing w:val="-2"/>
        </w:rPr>
        <w:t>dan</w:t>
      </w:r>
      <w:r>
        <w:rPr>
          <w:spacing w:val="-10"/>
        </w:rPr>
        <w:t> </w:t>
      </w:r>
      <w:r>
        <w:rPr>
          <w:spacing w:val="-2"/>
        </w:rPr>
        <w:t>memahami</w:t>
      </w:r>
      <w:r>
        <w:rPr>
          <w:spacing w:val="-9"/>
        </w:rPr>
        <w:t> </w:t>
      </w:r>
      <w:r>
        <w:rPr>
          <w:spacing w:val="-2"/>
        </w:rPr>
        <w:t>berbagai </w:t>
      </w:r>
      <w:r>
        <w:rPr/>
        <w:t>persoalan</w:t>
      </w:r>
      <w:r>
        <w:rPr>
          <w:spacing w:val="-13"/>
        </w:rPr>
        <w:t> </w:t>
      </w:r>
      <w:r>
        <w:rPr/>
        <w:t>9</w:t>
      </w:r>
      <w:r>
        <w:rPr>
          <w:spacing w:val="-7"/>
        </w:rPr>
        <w:t> </w:t>
      </w:r>
      <w:r>
        <w:rPr/>
        <w:t>sosial,</w:t>
      </w:r>
      <w:r>
        <w:rPr>
          <w:spacing w:val="-12"/>
        </w:rPr>
        <w:t> </w:t>
      </w:r>
      <w:r>
        <w:rPr/>
        <w:t>ekonomi,</w:t>
      </w:r>
      <w:r>
        <w:rPr>
          <w:spacing w:val="-6"/>
        </w:rPr>
        <w:t> </w:t>
      </w:r>
      <w:r>
        <w:rPr/>
        <w:t>dan</w:t>
      </w:r>
      <w:r>
        <w:rPr>
          <w:spacing w:val="-8"/>
        </w:rPr>
        <w:t> </w:t>
      </w:r>
      <w:r>
        <w:rPr/>
        <w:t>politik</w:t>
      </w:r>
      <w:r>
        <w:rPr>
          <w:spacing w:val="-7"/>
        </w:rPr>
        <w:t> </w:t>
      </w:r>
      <w:r>
        <w:rPr/>
        <w:t>dan</w:t>
      </w:r>
      <w:r>
        <w:rPr>
          <w:spacing w:val="-13"/>
        </w:rPr>
        <w:t> </w:t>
      </w:r>
      <w:r>
        <w:rPr/>
        <w:t>mengkritisi</w:t>
      </w:r>
      <w:r>
        <w:rPr>
          <w:spacing w:val="-12"/>
        </w:rPr>
        <w:t> </w:t>
      </w:r>
      <w:r>
        <w:rPr/>
        <w:t>berbagai</w:t>
      </w:r>
      <w:r>
        <w:rPr>
          <w:spacing w:val="-6"/>
        </w:rPr>
        <w:t> </w:t>
      </w:r>
      <w:r>
        <w:rPr/>
        <w:t>kebijakan pemerintah. Hal ini sekaligus menjadi perwujudan dari political equality, </w:t>
      </w:r>
      <w:r>
        <w:rPr>
          <w:spacing w:val="-4"/>
        </w:rPr>
        <w:t>dimana</w:t>
      </w:r>
      <w:r>
        <w:rPr>
          <w:spacing w:val="-13"/>
        </w:rPr>
        <w:t> </w:t>
      </w:r>
      <w:r>
        <w:rPr>
          <w:spacing w:val="-4"/>
        </w:rPr>
        <w:t>masyarakat</w:t>
      </w:r>
      <w:r>
        <w:rPr>
          <w:spacing w:val="-11"/>
        </w:rPr>
        <w:t> </w:t>
      </w:r>
      <w:r>
        <w:rPr>
          <w:spacing w:val="-4"/>
        </w:rPr>
        <w:t>mendapat</w:t>
      </w:r>
      <w:r>
        <w:rPr>
          <w:spacing w:val="-11"/>
        </w:rPr>
        <w:t> </w:t>
      </w:r>
      <w:r>
        <w:rPr>
          <w:spacing w:val="-4"/>
        </w:rPr>
        <w:t>kesempatan</w:t>
      </w:r>
      <w:r>
        <w:rPr>
          <w:spacing w:val="-13"/>
        </w:rPr>
        <w:t> </w:t>
      </w:r>
      <w:r>
        <w:rPr>
          <w:spacing w:val="-4"/>
        </w:rPr>
        <w:t>untuk</w:t>
      </w:r>
      <w:r>
        <w:rPr>
          <w:spacing w:val="-10"/>
        </w:rPr>
        <w:t> </w:t>
      </w:r>
      <w:r>
        <w:rPr>
          <w:spacing w:val="-4"/>
        </w:rPr>
        <w:t>berpartisipasi</w:t>
      </w:r>
      <w:r>
        <w:rPr>
          <w:spacing w:val="-12"/>
        </w:rPr>
        <w:t> </w:t>
      </w:r>
      <w:r>
        <w:rPr>
          <w:spacing w:val="-4"/>
        </w:rPr>
        <w:t>dalam</w:t>
      </w:r>
      <w:r>
        <w:rPr>
          <w:spacing w:val="-12"/>
        </w:rPr>
        <w:t> </w:t>
      </w:r>
      <w:r>
        <w:rPr>
          <w:spacing w:val="-4"/>
        </w:rPr>
        <w:t>politik. Kedua,</w:t>
      </w:r>
      <w:r>
        <w:rPr>
          <w:spacing w:val="-22"/>
        </w:rPr>
        <w:t> </w:t>
      </w:r>
      <w:r>
        <w:rPr>
          <w:spacing w:val="-4"/>
        </w:rPr>
        <w:t>untuk</w:t>
      </w:r>
      <w:r>
        <w:rPr>
          <w:spacing w:val="-22"/>
        </w:rPr>
        <w:t> </w:t>
      </w:r>
      <w:r>
        <w:rPr>
          <w:spacing w:val="-4"/>
        </w:rPr>
        <w:t>menyediakan</w:t>
      </w:r>
      <w:r>
        <w:rPr>
          <w:spacing w:val="-24"/>
        </w:rPr>
        <w:t> </w:t>
      </w:r>
      <w:r>
        <w:rPr>
          <w:spacing w:val="-4"/>
        </w:rPr>
        <w:t>latihan</w:t>
      </w:r>
      <w:r>
        <w:rPr>
          <w:spacing w:val="-24"/>
        </w:rPr>
        <w:t> </w:t>
      </w:r>
      <w:r>
        <w:rPr>
          <w:spacing w:val="-4"/>
        </w:rPr>
        <w:t>kepemimpinan,</w:t>
      </w:r>
      <w:r>
        <w:rPr>
          <w:spacing w:val="-22"/>
        </w:rPr>
        <w:t> </w:t>
      </w:r>
      <w:r>
        <w:rPr>
          <w:spacing w:val="-4"/>
        </w:rPr>
        <w:t>dimana</w:t>
      </w:r>
      <w:r>
        <w:rPr>
          <w:spacing w:val="-25"/>
        </w:rPr>
        <w:t> </w:t>
      </w:r>
      <w:r>
        <w:rPr>
          <w:spacing w:val="-4"/>
        </w:rPr>
        <w:t>politisi</w:t>
      </w:r>
      <w:r>
        <w:rPr>
          <w:spacing w:val="-24"/>
        </w:rPr>
        <w:t> </w:t>
      </w:r>
      <w:r>
        <w:rPr>
          <w:spacing w:val="-4"/>
        </w:rPr>
        <w:t>dan</w:t>
      </w:r>
      <w:r>
        <w:rPr>
          <w:spacing w:val="-24"/>
        </w:rPr>
        <w:t> </w:t>
      </w:r>
      <w:r>
        <w:rPr>
          <w:spacing w:val="-4"/>
        </w:rPr>
        <w:t>birokrat</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66"/>
      </w:pPr>
      <w:r>
        <w:rPr>
          <w:spacing w:val="-6"/>
        </w:rPr>
        <w:t>di</w:t>
      </w:r>
      <w:r>
        <w:rPr>
          <w:spacing w:val="-11"/>
        </w:rPr>
        <w:t> </w:t>
      </w:r>
      <w:r>
        <w:rPr>
          <w:spacing w:val="-6"/>
        </w:rPr>
        <w:t>daerah</w:t>
      </w:r>
      <w:r>
        <w:rPr>
          <w:spacing w:val="-10"/>
        </w:rPr>
        <w:t> </w:t>
      </w:r>
      <w:r>
        <w:rPr>
          <w:spacing w:val="-6"/>
        </w:rPr>
        <w:t>melalui</w:t>
      </w:r>
      <w:r>
        <w:rPr>
          <w:spacing w:val="-11"/>
        </w:rPr>
        <w:t> </w:t>
      </w:r>
      <w:r>
        <w:rPr>
          <w:spacing w:val="-6"/>
        </w:rPr>
        <w:t>desentralisasi</w:t>
      </w:r>
      <w:r>
        <w:rPr>
          <w:spacing w:val="-10"/>
        </w:rPr>
        <w:t> </w:t>
      </w:r>
      <w:r>
        <w:rPr>
          <w:spacing w:val="-6"/>
        </w:rPr>
        <w:t>akan</w:t>
      </w:r>
      <w:r>
        <w:rPr>
          <w:spacing w:val="-9"/>
        </w:rPr>
        <w:t> </w:t>
      </w:r>
      <w:r>
        <w:rPr>
          <w:spacing w:val="-6"/>
        </w:rPr>
        <w:t>belajar</w:t>
      </w:r>
      <w:r>
        <w:rPr>
          <w:spacing w:val="-10"/>
        </w:rPr>
        <w:t> </w:t>
      </w:r>
      <w:r>
        <w:rPr>
          <w:spacing w:val="-6"/>
        </w:rPr>
        <w:t>mengenai</w:t>
      </w:r>
      <w:r>
        <w:rPr>
          <w:spacing w:val="-11"/>
        </w:rPr>
        <w:t> </w:t>
      </w:r>
      <w:r>
        <w:rPr>
          <w:spacing w:val="-6"/>
        </w:rPr>
        <w:t>pemerintahan</w:t>
      </w:r>
      <w:r>
        <w:rPr>
          <w:spacing w:val="-9"/>
        </w:rPr>
        <w:t> </w:t>
      </w:r>
      <w:r>
        <w:rPr>
          <w:spacing w:val="-6"/>
        </w:rPr>
        <w:t>sehingga </w:t>
      </w:r>
      <w:r>
        <w:rPr/>
        <w:t>menghasilkan calon pimpinan yang handal untuk level nasional. Hal ini merupakan</w:t>
      </w:r>
      <w:r>
        <w:rPr>
          <w:spacing w:val="-17"/>
        </w:rPr>
        <w:t> </w:t>
      </w:r>
      <w:r>
        <w:rPr/>
        <w:t>perwujudan</w:t>
      </w:r>
      <w:r>
        <w:rPr>
          <w:spacing w:val="-16"/>
        </w:rPr>
        <w:t> </w:t>
      </w:r>
      <w:r>
        <w:rPr/>
        <w:t>dari</w:t>
      </w:r>
      <w:r>
        <w:rPr>
          <w:spacing w:val="-17"/>
        </w:rPr>
        <w:t> </w:t>
      </w:r>
      <w:r>
        <w:rPr/>
        <w:t>local</w:t>
      </w:r>
      <w:r>
        <w:rPr>
          <w:spacing w:val="-16"/>
        </w:rPr>
        <w:t> </w:t>
      </w:r>
      <w:r>
        <w:rPr/>
        <w:t>responsiveness,</w:t>
      </w:r>
      <w:r>
        <w:rPr>
          <w:spacing w:val="-17"/>
        </w:rPr>
        <w:t> </w:t>
      </w:r>
      <w:r>
        <w:rPr/>
        <w:t>dimana</w:t>
      </w:r>
      <w:r>
        <w:rPr>
          <w:spacing w:val="-16"/>
        </w:rPr>
        <w:t> </w:t>
      </w:r>
      <w:r>
        <w:rPr/>
        <w:t>para</w:t>
      </w:r>
      <w:r>
        <w:rPr>
          <w:spacing w:val="-17"/>
        </w:rPr>
        <w:t> </w:t>
      </w:r>
      <w:r>
        <w:rPr/>
        <w:t>politisi</w:t>
      </w:r>
      <w:r>
        <w:rPr>
          <w:spacing w:val="-16"/>
        </w:rPr>
        <w:t> </w:t>
      </w:r>
      <w:r>
        <w:rPr/>
        <w:t>yang mengenal</w:t>
      </w:r>
      <w:r>
        <w:rPr>
          <w:spacing w:val="-9"/>
        </w:rPr>
        <w:t> </w:t>
      </w:r>
      <w:r>
        <w:rPr/>
        <w:t>daerahnya</w:t>
      </w:r>
      <w:r>
        <w:rPr>
          <w:spacing w:val="-11"/>
        </w:rPr>
        <w:t> </w:t>
      </w:r>
      <w:r>
        <w:rPr/>
        <w:t>dapat</w:t>
      </w:r>
      <w:r>
        <w:rPr>
          <w:spacing w:val="-8"/>
        </w:rPr>
        <w:t> </w:t>
      </w:r>
      <w:r>
        <w:rPr/>
        <w:t>merespons</w:t>
      </w:r>
      <w:r>
        <w:rPr>
          <w:spacing w:val="-10"/>
        </w:rPr>
        <w:t> </w:t>
      </w:r>
      <w:r>
        <w:rPr/>
        <w:t>dengan</w:t>
      </w:r>
      <w:r>
        <w:rPr>
          <w:spacing w:val="-10"/>
        </w:rPr>
        <w:t> </w:t>
      </w:r>
      <w:r>
        <w:rPr/>
        <w:t>baik</w:t>
      </w:r>
      <w:r>
        <w:rPr>
          <w:spacing w:val="-12"/>
        </w:rPr>
        <w:t> </w:t>
      </w:r>
      <w:r>
        <w:rPr/>
        <w:t>persoalan</w:t>
      </w:r>
      <w:r>
        <w:rPr>
          <w:spacing w:val="-7"/>
        </w:rPr>
        <w:t> </w:t>
      </w:r>
      <w:r>
        <w:rPr/>
        <w:t>masyarakat. </w:t>
      </w:r>
      <w:r>
        <w:rPr>
          <w:spacing w:val="-2"/>
        </w:rPr>
        <w:t>Ketiga,</w:t>
      </w:r>
      <w:r>
        <w:rPr>
          <w:spacing w:val="-4"/>
        </w:rPr>
        <w:t> </w:t>
      </w:r>
      <w:r>
        <w:rPr>
          <w:spacing w:val="-2"/>
        </w:rPr>
        <w:t>untuk</w:t>
      </w:r>
      <w:r>
        <w:rPr>
          <w:spacing w:val="-4"/>
        </w:rPr>
        <w:t> </w:t>
      </w:r>
      <w:r>
        <w:rPr>
          <w:spacing w:val="-2"/>
        </w:rPr>
        <w:t>menciptakan</w:t>
      </w:r>
      <w:r>
        <w:rPr>
          <w:spacing w:val="-6"/>
        </w:rPr>
        <w:t> </w:t>
      </w:r>
      <w:r>
        <w:rPr>
          <w:spacing w:val="-2"/>
        </w:rPr>
        <w:t>stabilitas</w:t>
      </w:r>
      <w:r>
        <w:rPr>
          <w:spacing w:val="-6"/>
        </w:rPr>
        <w:t> </w:t>
      </w:r>
      <w:r>
        <w:rPr>
          <w:spacing w:val="-2"/>
        </w:rPr>
        <w:t>politik.</w:t>
      </w:r>
      <w:r>
        <w:rPr>
          <w:spacing w:val="-4"/>
        </w:rPr>
        <w:t> </w:t>
      </w:r>
      <w:r>
        <w:rPr>
          <w:spacing w:val="-2"/>
        </w:rPr>
        <w:t>Desentralisasi</w:t>
      </w:r>
      <w:r>
        <w:rPr>
          <w:spacing w:val="-4"/>
        </w:rPr>
        <w:t> </w:t>
      </w:r>
      <w:r>
        <w:rPr>
          <w:spacing w:val="-2"/>
        </w:rPr>
        <w:t>diharapkan dapat </w:t>
      </w:r>
      <w:r>
        <w:rPr/>
        <w:t>meningkatkan sensitivitas dan kemampuan politik para politisi dalam mengakomodir tuntutan masyarakat di daerah. Hal ini sekaligus akan menghadirkan local accountability dari para pimpinan daerah. Indonesia, </w:t>
      </w:r>
      <w:r>
        <w:rPr>
          <w:spacing w:val="-4"/>
        </w:rPr>
        <w:t>dalam</w:t>
      </w:r>
      <w:r>
        <w:rPr>
          <w:spacing w:val="-13"/>
        </w:rPr>
        <w:t> </w:t>
      </w:r>
      <w:r>
        <w:rPr>
          <w:spacing w:val="-4"/>
        </w:rPr>
        <w:t>perkembangan</w:t>
      </w:r>
      <w:r>
        <w:rPr>
          <w:spacing w:val="-12"/>
        </w:rPr>
        <w:t> </w:t>
      </w:r>
      <w:r>
        <w:rPr>
          <w:spacing w:val="-4"/>
        </w:rPr>
        <w:t>pemerintahan</w:t>
      </w:r>
      <w:r>
        <w:rPr>
          <w:spacing w:val="-13"/>
        </w:rPr>
        <w:t> </w:t>
      </w:r>
      <w:r>
        <w:rPr>
          <w:spacing w:val="-4"/>
        </w:rPr>
        <w:t>daerah</w:t>
      </w:r>
      <w:r>
        <w:rPr>
          <w:spacing w:val="-12"/>
        </w:rPr>
        <w:t> </w:t>
      </w:r>
      <w:r>
        <w:rPr>
          <w:spacing w:val="-4"/>
        </w:rPr>
        <w:t>dapat</w:t>
      </w:r>
      <w:r>
        <w:rPr>
          <w:spacing w:val="-13"/>
        </w:rPr>
        <w:t> </w:t>
      </w:r>
      <w:r>
        <w:rPr>
          <w:spacing w:val="-4"/>
        </w:rPr>
        <w:t>dilihat</w:t>
      </w:r>
      <w:r>
        <w:rPr>
          <w:spacing w:val="-12"/>
        </w:rPr>
        <w:t> </w:t>
      </w:r>
      <w:r>
        <w:rPr>
          <w:spacing w:val="-4"/>
        </w:rPr>
        <w:t>selalu</w:t>
      </w:r>
      <w:r>
        <w:rPr>
          <w:spacing w:val="-13"/>
        </w:rPr>
        <w:t> </w:t>
      </w:r>
      <w:r>
        <w:rPr>
          <w:spacing w:val="-4"/>
        </w:rPr>
        <w:t>memilih</w:t>
      </w:r>
      <w:r>
        <w:rPr>
          <w:spacing w:val="-12"/>
        </w:rPr>
        <w:t> </w:t>
      </w:r>
      <w:r>
        <w:rPr>
          <w:spacing w:val="-4"/>
        </w:rPr>
        <w:t>salah </w:t>
      </w:r>
      <w:r>
        <w:rPr/>
        <w:t>satu</w:t>
      </w:r>
      <w:r>
        <w:rPr>
          <w:spacing w:val="-8"/>
        </w:rPr>
        <w:t> </w:t>
      </w:r>
      <w:r>
        <w:rPr/>
        <w:t>kutub,</w:t>
      </w:r>
      <w:r>
        <w:rPr>
          <w:spacing w:val="-11"/>
        </w:rPr>
        <w:t> </w:t>
      </w:r>
      <w:r>
        <w:rPr/>
        <w:t>antara</w:t>
      </w:r>
      <w:r>
        <w:rPr>
          <w:spacing w:val="-9"/>
        </w:rPr>
        <w:t> </w:t>
      </w:r>
      <w:r>
        <w:rPr/>
        <w:t>kutub</w:t>
      </w:r>
      <w:r>
        <w:rPr>
          <w:spacing w:val="-8"/>
        </w:rPr>
        <w:t> </w:t>
      </w:r>
      <w:r>
        <w:rPr/>
        <w:t>sangat</w:t>
      </w:r>
      <w:r>
        <w:rPr>
          <w:spacing w:val="-7"/>
        </w:rPr>
        <w:t> </w:t>
      </w:r>
      <w:r>
        <w:rPr/>
        <w:t>sentralistik</w:t>
      </w:r>
      <w:r>
        <w:rPr>
          <w:spacing w:val="-11"/>
        </w:rPr>
        <w:t> </w:t>
      </w:r>
      <w:r>
        <w:rPr/>
        <w:t>dan</w:t>
      </w:r>
      <w:r>
        <w:rPr>
          <w:spacing w:val="-8"/>
        </w:rPr>
        <w:t> </w:t>
      </w:r>
      <w:r>
        <w:rPr/>
        <w:t>kutub</w:t>
      </w:r>
      <w:r>
        <w:rPr>
          <w:spacing w:val="-9"/>
        </w:rPr>
        <w:t> </w:t>
      </w:r>
      <w:r>
        <w:rPr/>
        <w:t>sangat</w:t>
      </w:r>
      <w:r>
        <w:rPr>
          <w:spacing w:val="-7"/>
        </w:rPr>
        <w:t> </w:t>
      </w:r>
      <w:r>
        <w:rPr/>
        <w:t>desentralistik </w:t>
      </w:r>
      <w:r>
        <w:rPr>
          <w:spacing w:val="-4"/>
        </w:rPr>
        <w:t>(Hidayat dalam</w:t>
      </w:r>
      <w:r>
        <w:rPr>
          <w:spacing w:val="-10"/>
        </w:rPr>
        <w:t> </w:t>
      </w:r>
      <w:r>
        <w:rPr>
          <w:spacing w:val="-4"/>
        </w:rPr>
        <w:t>Wignosubroto,</w:t>
      </w:r>
      <w:r>
        <w:rPr>
          <w:spacing w:val="-7"/>
        </w:rPr>
        <w:t> </w:t>
      </w:r>
      <w:r>
        <w:rPr>
          <w:spacing w:val="-4"/>
        </w:rPr>
        <w:t>2005:156).</w:t>
      </w:r>
      <w:r>
        <w:rPr>
          <w:spacing w:val="-7"/>
        </w:rPr>
        <w:t> </w:t>
      </w:r>
      <w:r>
        <w:rPr>
          <w:spacing w:val="-4"/>
        </w:rPr>
        <w:t>Padahal, dalam</w:t>
      </w:r>
      <w:r>
        <w:rPr>
          <w:spacing w:val="-8"/>
        </w:rPr>
        <w:t> </w:t>
      </w:r>
      <w:r>
        <w:rPr>
          <w:spacing w:val="-4"/>
        </w:rPr>
        <w:t>teori UU</w:t>
      </w:r>
      <w:r>
        <w:rPr>
          <w:spacing w:val="-11"/>
        </w:rPr>
        <w:t> </w:t>
      </w:r>
      <w:r>
        <w:rPr>
          <w:spacing w:val="-4"/>
        </w:rPr>
        <w:t>Nomor</w:t>
      </w:r>
      <w:r>
        <w:rPr>
          <w:spacing w:val="-5"/>
        </w:rPr>
        <w:t> </w:t>
      </w:r>
      <w:r>
        <w:rPr>
          <w:spacing w:val="-4"/>
        </w:rPr>
        <w:t>23 </w:t>
      </w:r>
      <w:r>
        <w:rPr/>
        <w:t>Tahun 2014 dinilai kembali mengarahkan sistem pemerintahan kepada sentralisasi (Safa’at, 2015:6). Hal ini ditandai dengan enam indikator, yakni penegasan kekuasan Presiden yang memegang kekuasaan pemerintahan; prinsip pembagian urusan; hubungan pemanfaatan sumber daya alam; pengelolaan laut; upaya hukum atas pembatalan peraturan daerah; dan terdapat pembagian urusan konkuren antara pemerintah pusat, daerah provinsi, dan daerah kabupaten/kota. Dalam debat antara sentralisasi dan desentralisasi, para pakar sepakat bahwa sentralisasi dan desentralisasi merupakan dua pendulum yang</w:t>
      </w:r>
      <w:r>
        <w:rPr>
          <w:spacing w:val="-1"/>
        </w:rPr>
        <w:t> </w:t>
      </w:r>
      <w:r>
        <w:rPr/>
        <w:t>selalu mencari titik seimbangnya</w:t>
      </w:r>
      <w:r>
        <w:rPr>
          <w:spacing w:val="-1"/>
        </w:rPr>
        <w:t> </w:t>
      </w:r>
      <w:r>
        <w:rPr/>
        <w:t>(Kauzya, </w:t>
      </w:r>
      <w:r>
        <w:rPr>
          <w:spacing w:val="-6"/>
        </w:rPr>
        <w:t>tanpa</w:t>
      </w:r>
      <w:r>
        <w:rPr>
          <w:spacing w:val="-11"/>
        </w:rPr>
        <w:t> </w:t>
      </w:r>
      <w:r>
        <w:rPr>
          <w:spacing w:val="-6"/>
        </w:rPr>
        <w:t>tahun:9).</w:t>
      </w:r>
      <w:r>
        <w:rPr>
          <w:spacing w:val="-10"/>
        </w:rPr>
        <w:t> </w:t>
      </w:r>
      <w:r>
        <w:rPr>
          <w:spacing w:val="-6"/>
        </w:rPr>
        <w:t>Keseimbangan</w:t>
      </w:r>
      <w:r>
        <w:rPr>
          <w:spacing w:val="-11"/>
        </w:rPr>
        <w:t> </w:t>
      </w:r>
      <w:r>
        <w:rPr>
          <w:spacing w:val="-6"/>
        </w:rPr>
        <w:t>itu</w:t>
      </w:r>
      <w:r>
        <w:rPr>
          <w:spacing w:val="-10"/>
        </w:rPr>
        <w:t> </w:t>
      </w:r>
      <w:r>
        <w:rPr>
          <w:spacing w:val="-6"/>
        </w:rPr>
        <w:t>dipengaruhi</w:t>
      </w:r>
      <w:r>
        <w:rPr>
          <w:spacing w:val="-11"/>
        </w:rPr>
        <w:t> </w:t>
      </w:r>
      <w:r>
        <w:rPr>
          <w:spacing w:val="-6"/>
        </w:rPr>
        <w:t>oleh</w:t>
      </w:r>
      <w:r>
        <w:rPr>
          <w:spacing w:val="-10"/>
        </w:rPr>
        <w:t> </w:t>
      </w:r>
      <w:r>
        <w:rPr>
          <w:spacing w:val="-6"/>
        </w:rPr>
        <w:t>interaksi</w:t>
      </w:r>
      <w:r>
        <w:rPr>
          <w:spacing w:val="-11"/>
        </w:rPr>
        <w:t> </w:t>
      </w:r>
      <w:r>
        <w:rPr>
          <w:spacing w:val="-6"/>
        </w:rPr>
        <w:t>pemerintah</w:t>
      </w:r>
      <w:r>
        <w:rPr>
          <w:spacing w:val="-10"/>
        </w:rPr>
        <w:t> </w:t>
      </w:r>
      <w:r>
        <w:rPr>
          <w:spacing w:val="-6"/>
        </w:rPr>
        <w:t>pusat, </w:t>
      </w:r>
      <w:r>
        <w:rPr/>
        <w:t>pemerintah daerah, masyarakat sipil, elit lokal, dan sektor swasta. Konsep desentralisasi di Indonesia diejawantahkan dalam otonomi daerah. Ryaas </w:t>
      </w:r>
      <w:r>
        <w:rPr>
          <w:spacing w:val="-6"/>
        </w:rPr>
        <w:t>Rasyid</w:t>
      </w:r>
      <w:r>
        <w:rPr>
          <w:spacing w:val="-11"/>
        </w:rPr>
        <w:t> </w:t>
      </w:r>
      <w:r>
        <w:rPr>
          <w:spacing w:val="-6"/>
        </w:rPr>
        <w:t>(2007)</w:t>
      </w:r>
      <w:r>
        <w:rPr>
          <w:spacing w:val="-2"/>
        </w:rPr>
        <w:t> </w:t>
      </w:r>
      <w:r>
        <w:rPr>
          <w:spacing w:val="-6"/>
        </w:rPr>
        <w:t>merumuskan ruang</w:t>
      </w:r>
      <w:r>
        <w:rPr>
          <w:spacing w:val="-11"/>
        </w:rPr>
        <w:t> </w:t>
      </w:r>
      <w:r>
        <w:rPr>
          <w:spacing w:val="-6"/>
        </w:rPr>
        <w:t>lingkup otonomi daerah dalam</w:t>
      </w:r>
      <w:r>
        <w:rPr>
          <w:spacing w:val="-10"/>
        </w:rPr>
        <w:t> </w:t>
      </w:r>
      <w:r>
        <w:rPr>
          <w:spacing w:val="-6"/>
        </w:rPr>
        <w:t>tiga</w:t>
      </w:r>
      <w:r>
        <w:rPr>
          <w:spacing w:val="-11"/>
        </w:rPr>
        <w:t> </w:t>
      </w:r>
      <w:r>
        <w:rPr>
          <w:spacing w:val="-6"/>
        </w:rPr>
        <w:t>interaksi </w:t>
      </w:r>
      <w:r>
        <w:rPr/>
        <w:t>utama, yakni politik, ekonomi, dan sosial budaya. Dalam konteks politik, otonomi</w:t>
      </w:r>
      <w:r>
        <w:rPr>
          <w:spacing w:val="-8"/>
        </w:rPr>
        <w:t> </w:t>
      </w:r>
      <w:r>
        <w:rPr/>
        <w:t>daerah</w:t>
      </w:r>
      <w:r>
        <w:rPr>
          <w:spacing w:val="-8"/>
        </w:rPr>
        <w:t> </w:t>
      </w:r>
      <w:r>
        <w:rPr/>
        <w:t>membuka</w:t>
      </w:r>
      <w:r>
        <w:rPr>
          <w:spacing w:val="-13"/>
        </w:rPr>
        <w:t> </w:t>
      </w:r>
      <w:r>
        <w:rPr/>
        <w:t>ruang</w:t>
      </w:r>
      <w:r>
        <w:rPr>
          <w:spacing w:val="-9"/>
        </w:rPr>
        <w:t> </w:t>
      </w:r>
      <w:r>
        <w:rPr/>
        <w:t>bagi</w:t>
      </w:r>
      <w:r>
        <w:rPr>
          <w:spacing w:val="-8"/>
        </w:rPr>
        <w:t> </w:t>
      </w:r>
      <w:r>
        <w:rPr/>
        <w:t>demokrasi</w:t>
      </w:r>
      <w:r>
        <w:rPr>
          <w:spacing w:val="-8"/>
        </w:rPr>
        <w:t> </w:t>
      </w:r>
      <w:r>
        <w:rPr/>
        <w:t>dengan</w:t>
      </w:r>
      <w:r>
        <w:rPr>
          <w:spacing w:val="-8"/>
        </w:rPr>
        <w:t> </w:t>
      </w:r>
      <w:r>
        <w:rPr/>
        <w:t>dipilihnya</w:t>
      </w:r>
      <w:r>
        <w:rPr>
          <w:spacing w:val="-9"/>
        </w:rPr>
        <w:t> </w:t>
      </w:r>
      <w:r>
        <w:rPr/>
        <w:t>kepala </w:t>
      </w:r>
      <w:r>
        <w:rPr>
          <w:spacing w:val="-4"/>
        </w:rPr>
        <w:t>pemerintahan</w:t>
      </w:r>
      <w:r>
        <w:rPr>
          <w:spacing w:val="-13"/>
        </w:rPr>
        <w:t> </w:t>
      </w:r>
      <w:r>
        <w:rPr>
          <w:spacing w:val="-4"/>
        </w:rPr>
        <w:t>secara</w:t>
      </w:r>
      <w:r>
        <w:rPr>
          <w:spacing w:val="-12"/>
        </w:rPr>
        <w:t> </w:t>
      </w:r>
      <w:r>
        <w:rPr>
          <w:spacing w:val="-4"/>
        </w:rPr>
        <w:t>demokratis.</w:t>
      </w:r>
      <w:r>
        <w:rPr>
          <w:spacing w:val="-13"/>
        </w:rPr>
        <w:t> </w:t>
      </w:r>
      <w:r>
        <w:rPr>
          <w:spacing w:val="-4"/>
        </w:rPr>
        <w:t>Selain</w:t>
      </w:r>
      <w:r>
        <w:rPr>
          <w:spacing w:val="-12"/>
        </w:rPr>
        <w:t> </w:t>
      </w:r>
      <w:r>
        <w:rPr>
          <w:spacing w:val="-4"/>
        </w:rPr>
        <w:t>itu,</w:t>
      </w:r>
      <w:r>
        <w:rPr>
          <w:spacing w:val="-13"/>
        </w:rPr>
        <w:t> </w:t>
      </w:r>
      <w:r>
        <w:rPr>
          <w:spacing w:val="-4"/>
        </w:rPr>
        <w:t>kepala</w:t>
      </w:r>
      <w:r>
        <w:rPr>
          <w:spacing w:val="-12"/>
        </w:rPr>
        <w:t> </w:t>
      </w:r>
      <w:r>
        <w:rPr>
          <w:spacing w:val="-4"/>
        </w:rPr>
        <w:t>daerah</w:t>
      </w:r>
      <w:r>
        <w:rPr>
          <w:spacing w:val="-13"/>
        </w:rPr>
        <w:t> </w:t>
      </w:r>
      <w:r>
        <w:rPr>
          <w:spacing w:val="-4"/>
        </w:rPr>
        <w:t>menyelenggarakan </w:t>
      </w:r>
      <w:r>
        <w:rPr/>
        <w:t>pemerintahan yang responsif terhadap kepentingan masyarakatnya, serta</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720"/>
        <w:jc w:val="left"/>
      </w:pPr>
      <w:r>
        <w:rPr/>
        <w:t>mengedepankan pertanggungjawaban publik serta</w:t>
      </w:r>
      <w:r>
        <w:rPr>
          <w:spacing w:val="-2"/>
        </w:rPr>
        <w:t> </w:t>
      </w:r>
      <w:r>
        <w:rPr/>
        <w:t>transparansi dalam mengambil</w:t>
      </w:r>
      <w:r>
        <w:rPr>
          <w:spacing w:val="-3"/>
        </w:rPr>
        <w:t> </w:t>
      </w:r>
      <w:r>
        <w:rPr/>
        <w:t>keputusan.</w:t>
      </w:r>
    </w:p>
    <w:p>
      <w:pPr>
        <w:pStyle w:val="Heading2"/>
        <w:numPr>
          <w:ilvl w:val="3"/>
          <w:numId w:val="7"/>
        </w:numPr>
        <w:tabs>
          <w:tab w:pos="1039" w:val="left" w:leader="none"/>
        </w:tabs>
        <w:spacing w:line="240" w:lineRule="auto" w:before="243" w:after="0"/>
        <w:ind w:left="1039" w:right="0" w:hanging="406"/>
        <w:jc w:val="both"/>
      </w:pPr>
      <w:bookmarkStart w:name="_bookmark12" w:id="13"/>
      <w:bookmarkEnd w:id="13"/>
      <w:r>
        <w:rPr>
          <w:b w:val="0"/>
        </w:rPr>
      </w:r>
      <w:r>
        <w:rPr/>
        <w:t>Penerimaan</w:t>
      </w:r>
      <w:r>
        <w:rPr>
          <w:spacing w:val="-11"/>
        </w:rPr>
        <w:t> </w:t>
      </w:r>
      <w:r>
        <w:rPr>
          <w:spacing w:val="-2"/>
        </w:rPr>
        <w:t>Daerah</w:t>
      </w:r>
    </w:p>
    <w:p>
      <w:pPr>
        <w:pStyle w:val="BodyText"/>
        <w:spacing w:line="360" w:lineRule="auto" w:before="223"/>
        <w:ind w:left="566" w:right="766" w:firstLine="710"/>
      </w:pPr>
      <w:r>
        <w:rPr/>
        <w:t>Eksistensi</w:t>
      </w:r>
      <w:r>
        <w:rPr>
          <w:spacing w:val="-17"/>
        </w:rPr>
        <w:t> </w:t>
      </w:r>
      <w:r>
        <w:rPr/>
        <w:t>penyelenggaraan</w:t>
      </w:r>
      <w:r>
        <w:rPr>
          <w:spacing w:val="-16"/>
        </w:rPr>
        <w:t> </w:t>
      </w:r>
      <w:r>
        <w:rPr/>
        <w:t>pemerintahan</w:t>
      </w:r>
      <w:r>
        <w:rPr>
          <w:spacing w:val="-16"/>
        </w:rPr>
        <w:t> </w:t>
      </w:r>
      <w:r>
        <w:rPr/>
        <w:t>daerah</w:t>
      </w:r>
      <w:r>
        <w:rPr>
          <w:spacing w:val="-14"/>
        </w:rPr>
        <w:t> </w:t>
      </w:r>
      <w:r>
        <w:rPr/>
        <w:t>sangat</w:t>
      </w:r>
      <w:r>
        <w:rPr>
          <w:spacing w:val="-13"/>
        </w:rPr>
        <w:t> </w:t>
      </w:r>
      <w:r>
        <w:rPr/>
        <w:t>ditentukan </w:t>
      </w:r>
      <w:r>
        <w:rPr>
          <w:spacing w:val="-4"/>
        </w:rPr>
        <w:t>oleh</w:t>
      </w:r>
      <w:r>
        <w:rPr>
          <w:spacing w:val="-12"/>
        </w:rPr>
        <w:t> </w:t>
      </w:r>
      <w:r>
        <w:rPr>
          <w:spacing w:val="-4"/>
        </w:rPr>
        <w:t>kemampuan</w:t>
      </w:r>
      <w:r>
        <w:rPr>
          <w:spacing w:val="-12"/>
        </w:rPr>
        <w:t> </w:t>
      </w:r>
      <w:r>
        <w:rPr>
          <w:spacing w:val="-4"/>
        </w:rPr>
        <w:t>daerah</w:t>
      </w:r>
      <w:r>
        <w:rPr>
          <w:spacing w:val="-11"/>
        </w:rPr>
        <w:t> </w:t>
      </w:r>
      <w:r>
        <w:rPr>
          <w:spacing w:val="-4"/>
        </w:rPr>
        <w:t>dalam</w:t>
      </w:r>
      <w:r>
        <w:rPr>
          <w:spacing w:val="-11"/>
        </w:rPr>
        <w:t> </w:t>
      </w:r>
      <w:r>
        <w:rPr>
          <w:spacing w:val="-4"/>
        </w:rPr>
        <w:t>mengelola</w:t>
      </w:r>
      <w:r>
        <w:rPr>
          <w:spacing w:val="-12"/>
        </w:rPr>
        <w:t> </w:t>
      </w:r>
      <w:r>
        <w:rPr>
          <w:spacing w:val="-4"/>
        </w:rPr>
        <w:t>keuangan</w:t>
      </w:r>
      <w:r>
        <w:rPr>
          <w:spacing w:val="-12"/>
        </w:rPr>
        <w:t> </w:t>
      </w:r>
      <w:r>
        <w:rPr>
          <w:spacing w:val="-4"/>
        </w:rPr>
        <w:t>daerahnya.</w:t>
      </w:r>
      <w:r>
        <w:rPr>
          <w:spacing w:val="-9"/>
        </w:rPr>
        <w:t> </w:t>
      </w:r>
      <w:r>
        <w:rPr>
          <w:spacing w:val="-4"/>
        </w:rPr>
        <w:t>Dikenal</w:t>
      </w:r>
      <w:r>
        <w:rPr>
          <w:spacing w:val="-11"/>
        </w:rPr>
        <w:t> </w:t>
      </w:r>
      <w:r>
        <w:rPr>
          <w:spacing w:val="-4"/>
        </w:rPr>
        <w:t>dua </w:t>
      </w:r>
      <w:r>
        <w:rPr/>
        <w:t>istilah yang maknanya tampak sama, namun sesungguhnya memiliki arti berbeda. Kajian ini menggunakan istilah ”pendapatan” dan bukan ”penerimaan” karena yang hendak dihitung adalah potensinya, jadi belum definitif/riil</w:t>
      </w:r>
      <w:r>
        <w:rPr>
          <w:spacing w:val="-6"/>
        </w:rPr>
        <w:t> </w:t>
      </w:r>
      <w:r>
        <w:rPr/>
        <w:t>masuk</w:t>
      </w:r>
      <w:r>
        <w:rPr>
          <w:spacing w:val="-1"/>
        </w:rPr>
        <w:t> </w:t>
      </w:r>
      <w:r>
        <w:rPr/>
        <w:t>ke</w:t>
      </w:r>
      <w:r>
        <w:rPr>
          <w:spacing w:val="-6"/>
        </w:rPr>
        <w:t> </w:t>
      </w:r>
      <w:r>
        <w:rPr/>
        <w:t>dalam</w:t>
      </w:r>
      <w:r>
        <w:rPr>
          <w:spacing w:val="-2"/>
        </w:rPr>
        <w:t> </w:t>
      </w:r>
      <w:r>
        <w:rPr/>
        <w:t>kas</w:t>
      </w:r>
      <w:r>
        <w:rPr>
          <w:spacing w:val="-3"/>
        </w:rPr>
        <w:t> </w:t>
      </w:r>
      <w:r>
        <w:rPr/>
        <w:t>daerah.</w:t>
      </w:r>
      <w:r>
        <w:rPr>
          <w:spacing w:val="-1"/>
        </w:rPr>
        <w:t> </w:t>
      </w:r>
      <w:r>
        <w:rPr/>
        <w:t>Sedangkan</w:t>
      </w:r>
      <w:r>
        <w:rPr>
          <w:spacing w:val="-3"/>
        </w:rPr>
        <w:t> </w:t>
      </w:r>
      <w:r>
        <w:rPr/>
        <w:t>”penerimaan”</w:t>
      </w:r>
      <w:r>
        <w:rPr>
          <w:spacing w:val="-1"/>
        </w:rPr>
        <w:t> </w:t>
      </w:r>
      <w:r>
        <w:rPr/>
        <w:t>merujuk kepada</w:t>
      </w:r>
      <w:r>
        <w:rPr>
          <w:spacing w:val="-19"/>
        </w:rPr>
        <w:t> </w:t>
      </w:r>
      <w:r>
        <w:rPr/>
        <w:t>jumlah</w:t>
      </w:r>
      <w:r>
        <w:rPr>
          <w:spacing w:val="-14"/>
        </w:rPr>
        <w:t> </w:t>
      </w:r>
      <w:r>
        <w:rPr/>
        <w:t>pemasukan</w:t>
      </w:r>
      <w:r>
        <w:rPr>
          <w:spacing w:val="-13"/>
        </w:rPr>
        <w:t> </w:t>
      </w:r>
      <w:r>
        <w:rPr/>
        <w:t>definitif/riil</w:t>
      </w:r>
      <w:r>
        <w:rPr>
          <w:spacing w:val="-18"/>
        </w:rPr>
        <w:t> </w:t>
      </w:r>
      <w:r>
        <w:rPr/>
        <w:t>ke</w:t>
      </w:r>
      <w:r>
        <w:rPr>
          <w:spacing w:val="-18"/>
        </w:rPr>
        <w:t> </w:t>
      </w:r>
      <w:r>
        <w:rPr/>
        <w:t>dalam</w:t>
      </w:r>
      <w:r>
        <w:rPr>
          <w:spacing w:val="-12"/>
        </w:rPr>
        <w:t> </w:t>
      </w:r>
      <w:r>
        <w:rPr/>
        <w:t>kas</w:t>
      </w:r>
      <w:r>
        <w:rPr>
          <w:spacing w:val="-18"/>
        </w:rPr>
        <w:t> </w:t>
      </w:r>
      <w:r>
        <w:rPr/>
        <w:t>daerah.</w:t>
      </w:r>
    </w:p>
    <w:p>
      <w:pPr>
        <w:pStyle w:val="BodyText"/>
        <w:spacing w:line="360" w:lineRule="auto"/>
        <w:ind w:left="566" w:right="767" w:firstLine="710"/>
      </w:pPr>
      <w:r>
        <w:rPr/>
        <w:t>Penerimaan daerah adalah uang yang masuk ke kas daerah. </w:t>
      </w:r>
      <w:r>
        <w:rPr>
          <w:spacing w:val="-2"/>
        </w:rPr>
        <w:t>Penerimaan</w:t>
      </w:r>
      <w:r>
        <w:rPr>
          <w:spacing w:val="-14"/>
        </w:rPr>
        <w:t> </w:t>
      </w:r>
      <w:r>
        <w:rPr>
          <w:spacing w:val="-2"/>
        </w:rPr>
        <w:t>daerah</w:t>
      </w:r>
      <w:r>
        <w:rPr>
          <w:spacing w:val="-11"/>
        </w:rPr>
        <w:t> </w:t>
      </w:r>
      <w:r>
        <w:rPr>
          <w:spacing w:val="-2"/>
        </w:rPr>
        <w:t>dalam</w:t>
      </w:r>
      <w:r>
        <w:rPr>
          <w:spacing w:val="-10"/>
        </w:rPr>
        <w:t> </w:t>
      </w:r>
      <w:r>
        <w:rPr>
          <w:spacing w:val="-2"/>
        </w:rPr>
        <w:t>rangka</w:t>
      </w:r>
      <w:r>
        <w:rPr>
          <w:spacing w:val="-12"/>
        </w:rPr>
        <w:t> </w:t>
      </w:r>
      <w:r>
        <w:rPr>
          <w:spacing w:val="-2"/>
        </w:rPr>
        <w:t>pelaksanaan</w:t>
      </w:r>
      <w:r>
        <w:rPr>
          <w:spacing w:val="-15"/>
        </w:rPr>
        <w:t> </w:t>
      </w:r>
      <w:r>
        <w:rPr>
          <w:spacing w:val="-2"/>
        </w:rPr>
        <w:t>otonomi</w:t>
      </w:r>
      <w:r>
        <w:rPr>
          <w:spacing w:val="-10"/>
        </w:rPr>
        <w:t> </w:t>
      </w:r>
      <w:r>
        <w:rPr>
          <w:spacing w:val="-2"/>
        </w:rPr>
        <w:t>daerah</w:t>
      </w:r>
      <w:r>
        <w:rPr>
          <w:spacing w:val="-15"/>
        </w:rPr>
        <w:t> </w:t>
      </w:r>
      <w:r>
        <w:rPr>
          <w:spacing w:val="-2"/>
        </w:rPr>
        <w:t>berdasarkan </w:t>
      </w:r>
      <w:r>
        <w:rPr/>
        <w:t>UU</w:t>
      </w:r>
      <w:r>
        <w:rPr>
          <w:spacing w:val="-11"/>
        </w:rPr>
        <w:t> </w:t>
      </w:r>
      <w:r>
        <w:rPr/>
        <w:t>Nomor</w:t>
      </w:r>
      <w:r>
        <w:rPr>
          <w:spacing w:val="-10"/>
        </w:rPr>
        <w:t> </w:t>
      </w:r>
      <w:r>
        <w:rPr/>
        <w:t>1</w:t>
      </w:r>
      <w:r>
        <w:rPr>
          <w:spacing w:val="-9"/>
        </w:rPr>
        <w:t> </w:t>
      </w:r>
      <w:r>
        <w:rPr/>
        <w:t>Tahun</w:t>
      </w:r>
      <w:r>
        <w:rPr>
          <w:spacing w:val="-10"/>
        </w:rPr>
        <w:t> </w:t>
      </w:r>
      <w:r>
        <w:rPr/>
        <w:t>2022</w:t>
      </w:r>
      <w:r>
        <w:rPr>
          <w:spacing w:val="-8"/>
        </w:rPr>
        <w:t> </w:t>
      </w:r>
      <w:r>
        <w:rPr/>
        <w:t>Tentang</w:t>
      </w:r>
      <w:r>
        <w:rPr>
          <w:spacing w:val="-10"/>
        </w:rPr>
        <w:t> </w:t>
      </w:r>
      <w:r>
        <w:rPr/>
        <w:t>Hubungan</w:t>
      </w:r>
      <w:r>
        <w:rPr>
          <w:spacing w:val="-9"/>
        </w:rPr>
        <w:t> </w:t>
      </w:r>
      <w:r>
        <w:rPr/>
        <w:t>Keuangan</w:t>
      </w:r>
      <w:r>
        <w:rPr>
          <w:spacing w:val="-9"/>
        </w:rPr>
        <w:t> </w:t>
      </w:r>
      <w:r>
        <w:rPr/>
        <w:t>Antara</w:t>
      </w:r>
      <w:r>
        <w:rPr>
          <w:spacing w:val="-10"/>
        </w:rPr>
        <w:t> </w:t>
      </w:r>
      <w:r>
        <w:rPr/>
        <w:t>Pemerintah Pusat</w:t>
      </w:r>
      <w:r>
        <w:rPr>
          <w:spacing w:val="80"/>
        </w:rPr>
        <w:t>  </w:t>
      </w:r>
      <w:r>
        <w:rPr/>
        <w:t>dan</w:t>
      </w:r>
      <w:r>
        <w:rPr>
          <w:spacing w:val="80"/>
        </w:rPr>
        <w:t>  </w:t>
      </w:r>
      <w:r>
        <w:rPr/>
        <w:t>Pemerintahan</w:t>
      </w:r>
      <w:r>
        <w:rPr>
          <w:spacing w:val="80"/>
        </w:rPr>
        <w:t>  </w:t>
      </w:r>
      <w:r>
        <w:rPr/>
        <w:t>Daerah</w:t>
      </w:r>
      <w:r>
        <w:rPr>
          <w:spacing w:val="80"/>
        </w:rPr>
        <w:t>  </w:t>
      </w:r>
      <w:r>
        <w:rPr/>
        <w:t>terdiri</w:t>
      </w:r>
      <w:r>
        <w:rPr>
          <w:spacing w:val="80"/>
        </w:rPr>
        <w:t>  </w:t>
      </w:r>
      <w:r>
        <w:rPr/>
        <w:t>dari</w:t>
      </w:r>
      <w:r>
        <w:rPr>
          <w:spacing w:val="-4"/>
        </w:rPr>
        <w:t> </w:t>
      </w:r>
      <w:r>
        <w:rPr/>
        <w:t>pendapatandaerah </w:t>
      </w:r>
      <w:r>
        <w:rPr>
          <w:spacing w:val="-4"/>
        </w:rPr>
        <w:t>dan</w:t>
      </w:r>
      <w:r>
        <w:rPr>
          <w:spacing w:val="-7"/>
        </w:rPr>
        <w:t> </w:t>
      </w:r>
      <w:r>
        <w:rPr>
          <w:spacing w:val="-4"/>
        </w:rPr>
        <w:t>pembiayaan.</w:t>
      </w:r>
      <w:r>
        <w:rPr>
          <w:spacing w:val="-5"/>
        </w:rPr>
        <w:t> </w:t>
      </w:r>
      <w:r>
        <w:rPr>
          <w:spacing w:val="-4"/>
        </w:rPr>
        <w:t>Sedangkan</w:t>
      </w:r>
      <w:r>
        <w:rPr>
          <w:spacing w:val="-7"/>
        </w:rPr>
        <w:t> </w:t>
      </w:r>
      <w:r>
        <w:rPr>
          <w:spacing w:val="-4"/>
        </w:rPr>
        <w:t>menurut</w:t>
      </w:r>
      <w:r>
        <w:rPr>
          <w:spacing w:val="-6"/>
        </w:rPr>
        <w:t> </w:t>
      </w:r>
      <w:r>
        <w:rPr>
          <w:spacing w:val="-4"/>
        </w:rPr>
        <w:t>Pasal 57 Peraturan</w:t>
      </w:r>
      <w:r>
        <w:rPr>
          <w:spacing w:val="-7"/>
        </w:rPr>
        <w:t> </w:t>
      </w:r>
      <w:r>
        <w:rPr>
          <w:spacing w:val="-4"/>
        </w:rPr>
        <w:t>Pemerintah Nomor </w:t>
      </w:r>
      <w:r>
        <w:rPr/>
        <w:t>58</w:t>
      </w:r>
      <w:r>
        <w:rPr>
          <w:spacing w:val="-7"/>
        </w:rPr>
        <w:t> </w:t>
      </w:r>
      <w:r>
        <w:rPr/>
        <w:t>Tahun</w:t>
      </w:r>
      <w:r>
        <w:rPr>
          <w:spacing w:val="-9"/>
        </w:rPr>
        <w:t> </w:t>
      </w:r>
      <w:r>
        <w:rPr/>
        <w:t>2005</w:t>
      </w:r>
      <w:r>
        <w:rPr>
          <w:spacing w:val="-7"/>
        </w:rPr>
        <w:t> </w:t>
      </w:r>
      <w:r>
        <w:rPr/>
        <w:t>tentang</w:t>
      </w:r>
      <w:r>
        <w:rPr>
          <w:spacing w:val="-9"/>
        </w:rPr>
        <w:t> </w:t>
      </w:r>
      <w:r>
        <w:rPr/>
        <w:t>Pengelolaan</w:t>
      </w:r>
      <w:r>
        <w:rPr>
          <w:spacing w:val="-9"/>
        </w:rPr>
        <w:t> </w:t>
      </w:r>
      <w:r>
        <w:rPr/>
        <w:t>Keuangan</w:t>
      </w:r>
      <w:r>
        <w:rPr>
          <w:spacing w:val="-9"/>
        </w:rPr>
        <w:t> </w:t>
      </w:r>
      <w:r>
        <w:rPr/>
        <w:t>Daerah,</w:t>
      </w:r>
      <w:r>
        <w:rPr>
          <w:spacing w:val="-7"/>
        </w:rPr>
        <w:t> </w:t>
      </w:r>
      <w:r>
        <w:rPr/>
        <w:t>semua penerimaan </w:t>
      </w:r>
      <w:r>
        <w:rPr>
          <w:spacing w:val="-2"/>
        </w:rPr>
        <w:t>daerah</w:t>
      </w:r>
      <w:r>
        <w:rPr>
          <w:spacing w:val="-15"/>
        </w:rPr>
        <w:t> </w:t>
      </w:r>
      <w:r>
        <w:rPr>
          <w:spacing w:val="-2"/>
        </w:rPr>
        <w:t>dilakukan</w:t>
      </w:r>
      <w:r>
        <w:rPr>
          <w:spacing w:val="-14"/>
        </w:rPr>
        <w:t> </w:t>
      </w:r>
      <w:r>
        <w:rPr>
          <w:spacing w:val="-2"/>
        </w:rPr>
        <w:t>melalui</w:t>
      </w:r>
      <w:r>
        <w:rPr>
          <w:spacing w:val="-15"/>
        </w:rPr>
        <w:t> </w:t>
      </w:r>
      <w:r>
        <w:rPr>
          <w:spacing w:val="-2"/>
        </w:rPr>
        <w:t>rekening</w:t>
      </w:r>
      <w:r>
        <w:rPr>
          <w:spacing w:val="-14"/>
        </w:rPr>
        <w:t> </w:t>
      </w:r>
      <w:r>
        <w:rPr>
          <w:spacing w:val="-2"/>
        </w:rPr>
        <w:t>kas</w:t>
      </w:r>
      <w:r>
        <w:rPr>
          <w:spacing w:val="-15"/>
        </w:rPr>
        <w:t> </w:t>
      </w:r>
      <w:r>
        <w:rPr>
          <w:spacing w:val="-2"/>
        </w:rPr>
        <w:t>umum</w:t>
      </w:r>
      <w:r>
        <w:rPr>
          <w:spacing w:val="-14"/>
        </w:rPr>
        <w:t> </w:t>
      </w:r>
      <w:r>
        <w:rPr>
          <w:spacing w:val="-2"/>
        </w:rPr>
        <w:t>daerah.</w:t>
      </w:r>
      <w:r>
        <w:rPr>
          <w:spacing w:val="-15"/>
        </w:rPr>
        <w:t> </w:t>
      </w:r>
      <w:r>
        <w:rPr>
          <w:spacing w:val="-2"/>
        </w:rPr>
        <w:t>Bendaharapenerimaan </w:t>
      </w:r>
      <w:r>
        <w:rPr/>
        <w:t>wajib menyetor seluruh penerimaannya ke rekening kas umum</w:t>
      </w:r>
      <w:r>
        <w:rPr>
          <w:spacing w:val="-13"/>
        </w:rPr>
        <w:t> </w:t>
      </w:r>
      <w:r>
        <w:rPr/>
        <w:t>daerah selambat-lambatnya dalam waktu 1 hari kerja.</w:t>
      </w:r>
    </w:p>
    <w:p>
      <w:pPr>
        <w:pStyle w:val="BodyText"/>
        <w:spacing w:line="360" w:lineRule="auto" w:before="2"/>
        <w:ind w:left="566" w:right="769" w:firstLine="710"/>
      </w:pPr>
      <w:r>
        <w:rPr/>
        <w:t>Selanjutnya berdasarkan Pasal 17 Peraturan Menteri Dalam Negeri Nomor 13 Tahun 2006 tentang Pedoman Pengelolaan Keuangan Daerah menyatakan</w:t>
      </w:r>
      <w:r>
        <w:rPr>
          <w:spacing w:val="-14"/>
        </w:rPr>
        <w:t> </w:t>
      </w:r>
      <w:r>
        <w:rPr/>
        <w:t>bahwa</w:t>
      </w:r>
      <w:r>
        <w:rPr>
          <w:spacing w:val="-15"/>
        </w:rPr>
        <w:t> </w:t>
      </w:r>
      <w:r>
        <w:rPr/>
        <w:t>penerimaan</w:t>
      </w:r>
      <w:r>
        <w:rPr>
          <w:spacing w:val="-13"/>
        </w:rPr>
        <w:t> </w:t>
      </w:r>
      <w:r>
        <w:rPr/>
        <w:t>daerah</w:t>
      </w:r>
      <w:r>
        <w:rPr>
          <w:spacing w:val="-14"/>
        </w:rPr>
        <w:t> </w:t>
      </w:r>
      <w:r>
        <w:rPr/>
        <w:t>terdiri</w:t>
      </w:r>
      <w:r>
        <w:rPr>
          <w:spacing w:val="-13"/>
        </w:rPr>
        <w:t> </w:t>
      </w:r>
      <w:r>
        <w:rPr/>
        <w:t>atas</w:t>
      </w:r>
      <w:r>
        <w:rPr>
          <w:spacing w:val="-14"/>
        </w:rPr>
        <w:t> </w:t>
      </w:r>
      <w:r>
        <w:rPr/>
        <w:t>pendapatan</w:t>
      </w:r>
      <w:r>
        <w:rPr>
          <w:spacing w:val="-13"/>
        </w:rPr>
        <w:t> </w:t>
      </w:r>
      <w:r>
        <w:rPr/>
        <w:t>daerah</w:t>
      </w:r>
      <w:r>
        <w:rPr>
          <w:spacing w:val="-14"/>
        </w:rPr>
        <w:t> </w:t>
      </w:r>
      <w:r>
        <w:rPr/>
        <w:t>dan penerimaan pembiayaan daerah.</w:t>
      </w:r>
    </w:p>
    <w:p>
      <w:pPr>
        <w:pStyle w:val="Heading2"/>
        <w:numPr>
          <w:ilvl w:val="4"/>
          <w:numId w:val="7"/>
        </w:numPr>
        <w:tabs>
          <w:tab w:pos="1523" w:val="left" w:leader="none"/>
        </w:tabs>
        <w:spacing w:line="240" w:lineRule="auto" w:before="235" w:after="0"/>
        <w:ind w:left="1523" w:right="0" w:hanging="607"/>
        <w:jc w:val="both"/>
      </w:pPr>
      <w:bookmarkStart w:name="_bookmark13" w:id="14"/>
      <w:bookmarkEnd w:id="14"/>
      <w:r>
        <w:rPr>
          <w:b w:val="0"/>
        </w:rPr>
      </w:r>
      <w:r>
        <w:rPr/>
        <w:t>Pendapatan</w:t>
      </w:r>
      <w:r>
        <w:rPr>
          <w:spacing w:val="-17"/>
        </w:rPr>
        <w:t> </w:t>
      </w:r>
      <w:r>
        <w:rPr>
          <w:spacing w:val="-2"/>
        </w:rPr>
        <w:t>Daerah</w:t>
      </w:r>
    </w:p>
    <w:p>
      <w:pPr>
        <w:pStyle w:val="BodyText"/>
        <w:spacing w:line="360" w:lineRule="auto" w:before="224"/>
        <w:ind w:left="993" w:right="703" w:firstLine="566"/>
      </w:pPr>
      <w:r>
        <w:rPr/>
        <w:t>Pendapatan</w:t>
      </w:r>
      <w:r>
        <w:rPr>
          <w:spacing w:val="-11"/>
        </w:rPr>
        <w:t> </w:t>
      </w:r>
      <w:r>
        <w:rPr/>
        <w:t>Daerah</w:t>
      </w:r>
      <w:r>
        <w:rPr>
          <w:spacing w:val="-12"/>
        </w:rPr>
        <w:t> </w:t>
      </w:r>
      <w:r>
        <w:rPr/>
        <w:t>adalah</w:t>
      </w:r>
      <w:r>
        <w:rPr>
          <w:spacing w:val="-12"/>
        </w:rPr>
        <w:t> </w:t>
      </w:r>
      <w:r>
        <w:rPr/>
        <w:t>semua</w:t>
      </w:r>
      <w:r>
        <w:rPr>
          <w:spacing w:val="-13"/>
        </w:rPr>
        <w:t> </w:t>
      </w:r>
      <w:r>
        <w:rPr/>
        <w:t>hak</w:t>
      </w:r>
      <w:r>
        <w:rPr>
          <w:spacing w:val="-10"/>
        </w:rPr>
        <w:t> </w:t>
      </w:r>
      <w:r>
        <w:rPr/>
        <w:t>daerah</w:t>
      </w:r>
      <w:r>
        <w:rPr>
          <w:spacing w:val="-12"/>
        </w:rPr>
        <w:t> </w:t>
      </w:r>
      <w:r>
        <w:rPr/>
        <w:t>yang</w:t>
      </w:r>
      <w:r>
        <w:rPr>
          <w:spacing w:val="-12"/>
        </w:rPr>
        <w:t> </w:t>
      </w:r>
      <w:r>
        <w:rPr/>
        <w:t>diakui</w:t>
      </w:r>
      <w:r>
        <w:rPr>
          <w:spacing w:val="-15"/>
        </w:rPr>
        <w:t> </w:t>
      </w:r>
      <w:r>
        <w:rPr/>
        <w:t>sebagai penambah nilai kekayaan bersih dalam periode tahun anggaran yang bersangkutan (UU Nomor 1 tahun</w:t>
      </w:r>
      <w:r>
        <w:rPr>
          <w:spacing w:val="-2"/>
        </w:rPr>
        <w:t> </w:t>
      </w:r>
      <w:r>
        <w:rPr/>
        <w:t>2022). Selanjutnya dalam PP Nomor</w:t>
      </w:r>
    </w:p>
    <w:p>
      <w:pPr>
        <w:pStyle w:val="BodyText"/>
        <w:spacing w:after="0" w:line="360" w:lineRule="auto"/>
        <w:sectPr>
          <w:pgSz w:w="11910" w:h="16840"/>
          <w:pgMar w:header="0" w:footer="1186" w:top="1580" w:bottom="1380" w:left="1700" w:right="992"/>
        </w:sectPr>
      </w:pPr>
    </w:p>
    <w:p>
      <w:pPr>
        <w:pStyle w:val="BodyText"/>
        <w:spacing w:line="360" w:lineRule="auto" w:before="82"/>
        <w:ind w:left="993" w:right="699"/>
      </w:pPr>
      <w:r>
        <w:rPr/>
        <w:t>58 Tahun 2005 tentang Pengelolaan Keuangan disebutkan bahwa pendapatan</w:t>
      </w:r>
      <w:r>
        <w:rPr>
          <w:spacing w:val="-10"/>
        </w:rPr>
        <w:t> </w:t>
      </w:r>
      <w:r>
        <w:rPr/>
        <w:t>daerah</w:t>
      </w:r>
      <w:r>
        <w:rPr>
          <w:spacing w:val="-10"/>
        </w:rPr>
        <w:t> </w:t>
      </w:r>
      <w:r>
        <w:rPr/>
        <w:t>meliputi</w:t>
      </w:r>
      <w:r>
        <w:rPr>
          <w:spacing w:val="-10"/>
        </w:rPr>
        <w:t> </w:t>
      </w:r>
      <w:r>
        <w:rPr/>
        <w:t>semua</w:t>
      </w:r>
      <w:r>
        <w:rPr>
          <w:spacing w:val="-7"/>
        </w:rPr>
        <w:t> </w:t>
      </w:r>
      <w:r>
        <w:rPr/>
        <w:t>penerimaan</w:t>
      </w:r>
      <w:r>
        <w:rPr>
          <w:spacing w:val="-10"/>
        </w:rPr>
        <w:t> </w:t>
      </w:r>
      <w:r>
        <w:rPr/>
        <w:t>uang</w:t>
      </w:r>
      <w:r>
        <w:rPr>
          <w:spacing w:val="-16"/>
        </w:rPr>
        <w:t> </w:t>
      </w:r>
      <w:r>
        <w:rPr/>
        <w:t>melalui</w:t>
      </w:r>
      <w:r>
        <w:rPr>
          <w:spacing w:val="-10"/>
        </w:rPr>
        <w:t> </w:t>
      </w:r>
      <w:r>
        <w:rPr/>
        <w:t>Rekening Kas Umum Daerah, yang menambah ekuitas dana lancar, yang merupakan hak daerah dalam satu tahun anggaran yang tidak perlu dibayar kembali oleh daerah. Lebih lanjut berdasarkan Permendagri Nomor 13 Tahun 2006 disebutkan bahwa Pendapatan daerah merupakan perkiraan yang terukur secara rasional yang dapat dicapai untuk setiap sumber pendapatan.</w:t>
      </w:r>
    </w:p>
    <w:p>
      <w:pPr>
        <w:pStyle w:val="BodyText"/>
        <w:spacing w:line="360" w:lineRule="auto" w:before="5"/>
        <w:ind w:left="993" w:right="705" w:firstLine="566"/>
      </w:pPr>
      <w:r>
        <w:rPr/>
        <w:t>Sumber-sumber pendapatan daerah berdasarkan UU Nomor 1 Tahun 2022 berasal dari : (a) Pendapatan Asli Daerah (PAD); (b) Dana Perimbangan; dan (c) Lain-lain Pendapatan yang sah.</w:t>
      </w:r>
    </w:p>
    <w:p>
      <w:pPr>
        <w:pStyle w:val="BodyText"/>
        <w:spacing w:before="156"/>
        <w:jc w:val="left"/>
      </w:pPr>
    </w:p>
    <w:p>
      <w:pPr>
        <w:pStyle w:val="Heading2"/>
        <w:ind w:left="1041" w:firstLine="0"/>
      </w:pPr>
      <w:r>
        <w:rPr/>
        <w:t>a.</w:t>
      </w:r>
      <w:r>
        <w:rPr>
          <w:spacing w:val="27"/>
        </w:rPr>
        <w:t> </w:t>
      </w:r>
      <w:r>
        <w:rPr/>
        <w:t>Pendapatan</w:t>
      </w:r>
      <w:r>
        <w:rPr>
          <w:spacing w:val="-6"/>
        </w:rPr>
        <w:t> </w:t>
      </w:r>
      <w:r>
        <w:rPr/>
        <w:t>Asli</w:t>
      </w:r>
      <w:r>
        <w:rPr>
          <w:spacing w:val="-7"/>
        </w:rPr>
        <w:t> </w:t>
      </w:r>
      <w:r>
        <w:rPr/>
        <w:t>Daerah</w:t>
      </w:r>
      <w:r>
        <w:rPr>
          <w:spacing w:val="-1"/>
        </w:rPr>
        <w:t> </w:t>
      </w:r>
      <w:r>
        <w:rPr>
          <w:spacing w:val="-4"/>
        </w:rPr>
        <w:t>(PAD)</w:t>
      </w:r>
    </w:p>
    <w:p>
      <w:pPr>
        <w:pStyle w:val="BodyText"/>
        <w:spacing w:line="360" w:lineRule="auto" w:before="161"/>
        <w:ind w:left="1421" w:right="699"/>
      </w:pPr>
      <w:r>
        <w:rPr/>
        <w:t>Sumber penerimaan/pendapatan bagi daerah merupakan salah satu wujud dari pelaksanaan desentralisasi fiskal yang dapat digali dan digunakan sendiri sesuai dengan potensinya masing-masing. Pendapatan</w:t>
      </w:r>
      <w:r>
        <w:rPr>
          <w:spacing w:val="-11"/>
        </w:rPr>
        <w:t> </w:t>
      </w:r>
      <w:r>
        <w:rPr/>
        <w:t>Asli</w:t>
      </w:r>
      <w:r>
        <w:rPr>
          <w:spacing w:val="-11"/>
        </w:rPr>
        <w:t> </w:t>
      </w:r>
      <w:r>
        <w:rPr/>
        <w:t>Daerah</w:t>
      </w:r>
      <w:r>
        <w:rPr>
          <w:spacing w:val="-11"/>
        </w:rPr>
        <w:t> </w:t>
      </w:r>
      <w:r>
        <w:rPr/>
        <w:t>(PAD)</w:t>
      </w:r>
      <w:r>
        <w:rPr>
          <w:spacing w:val="-11"/>
        </w:rPr>
        <w:t> </w:t>
      </w:r>
      <w:r>
        <w:rPr/>
        <w:t>adalah</w:t>
      </w:r>
      <w:r>
        <w:rPr>
          <w:spacing w:val="-11"/>
        </w:rPr>
        <w:t> </w:t>
      </w:r>
      <w:r>
        <w:rPr/>
        <w:t>salah</w:t>
      </w:r>
      <w:r>
        <w:rPr>
          <w:spacing w:val="-11"/>
        </w:rPr>
        <w:t> </w:t>
      </w:r>
      <w:r>
        <w:rPr/>
        <w:t>satu</w:t>
      </w:r>
      <w:r>
        <w:rPr>
          <w:spacing w:val="-11"/>
        </w:rPr>
        <w:t> </w:t>
      </w:r>
      <w:r>
        <w:rPr/>
        <w:t>komponen</w:t>
      </w:r>
      <w:r>
        <w:rPr>
          <w:spacing w:val="-11"/>
        </w:rPr>
        <w:t> </w:t>
      </w:r>
      <w:r>
        <w:rPr/>
        <w:t>sumber penerimaan keuangan negara selain dana perimbangan, pinjaman daerah, dan lain-lain penerimaan yang sah serta sisa anggaran tahun sebelumnya. PAD bersumber pada penerimaan yang diperoleh daerah dari sumber ekonomi asli daerah, dalam wilayahnya sendiri yang dipungut berdasarkan Undang-undang. Sesuai dengan amanat Undang-Undang Dasar Negara RI Tahun 1945, setiap pungutan yang membebani masyarakat, harus diatur dengan UU.</w:t>
      </w:r>
    </w:p>
    <w:p>
      <w:pPr>
        <w:pStyle w:val="BodyText"/>
        <w:spacing w:before="162"/>
        <w:jc w:val="left"/>
      </w:pPr>
    </w:p>
    <w:p>
      <w:pPr>
        <w:pStyle w:val="BodyText"/>
        <w:spacing w:line="362" w:lineRule="auto"/>
        <w:ind w:left="1421" w:right="707"/>
      </w:pPr>
      <w:r>
        <w:rPr/>
        <w:t>Kemampuan daerah dapat dilihat dari sisi keuangan daerah dalam meminimalisir ketergantungan terhadap pemerintah daerah, salah</w:t>
      </w:r>
    </w:p>
    <w:p>
      <w:pPr>
        <w:pStyle w:val="BodyText"/>
        <w:spacing w:after="0" w:line="362" w:lineRule="auto"/>
        <w:sectPr>
          <w:pgSz w:w="11910" w:h="16840"/>
          <w:pgMar w:header="0" w:footer="1186" w:top="1580" w:bottom="1380" w:left="1700" w:right="992"/>
        </w:sectPr>
      </w:pPr>
    </w:p>
    <w:p>
      <w:pPr>
        <w:pStyle w:val="BodyText"/>
        <w:spacing w:line="360" w:lineRule="auto" w:before="82"/>
        <w:ind w:left="1421" w:right="705"/>
      </w:pPr>
      <w:r>
        <w:rPr/>
        <w:t>satunya yaitu dengan melihat komposisi dari penerimaan daerah yang ada, semakin besar komposisi pendapatan asli daerah maka semakin besar pula kemampuan pemerintah daerah untuk bertanggungjawab atas daerahnya. Namun sebaliknya, semakin kecil komposisi pendapatan asli daerah maka semakin besar suatu pemerintah daerah bergantung pada pemerintah pusat. Dengan meminimalisir ketergantungan, masyarakat akan merasakan dampaknya yaitu semakin meningkat penerimaan pendapatan asli daerah maka semakin lancar pembangunan infrastruktur di daerah </w:t>
      </w:r>
      <w:r>
        <w:rPr>
          <w:spacing w:val="-2"/>
        </w:rPr>
        <w:t>tersebut.</w:t>
      </w:r>
    </w:p>
    <w:p>
      <w:pPr>
        <w:pStyle w:val="BodyText"/>
        <w:spacing w:before="164"/>
        <w:jc w:val="left"/>
      </w:pPr>
    </w:p>
    <w:p>
      <w:pPr>
        <w:pStyle w:val="BodyText"/>
        <w:spacing w:line="360" w:lineRule="auto"/>
        <w:ind w:left="1421" w:right="704"/>
      </w:pPr>
      <w:r>
        <w:rPr/>
        <w:t>PAD bersumber dari (a) Pendapatan Pajak Daerah; (b) Pendapatan Retribusi Daerah; (c) Hasil Pengelolaan Kekayaan Daerah yang dipisahkan (d) Lain-Lain PAD yang Sah.</w:t>
      </w:r>
    </w:p>
    <w:p>
      <w:pPr>
        <w:pStyle w:val="BodyText"/>
        <w:spacing w:before="160"/>
        <w:jc w:val="left"/>
      </w:pPr>
    </w:p>
    <w:p>
      <w:pPr>
        <w:pStyle w:val="BodyText"/>
        <w:spacing w:line="360" w:lineRule="auto"/>
        <w:ind w:left="1421" w:right="700"/>
      </w:pPr>
      <w:r>
        <w:rPr/>
        <w:t>Pajak daerah dan retribusi daerah merupakan salah satu sumber pendapatan daerah yang penting guna membiayai pelaksanaan pemerintahan daerah. Pajak dan retibusi daerah digunakan dalam rangka meningkatkan pelayanan kepada masyarakat dan kemandirian</w:t>
      </w:r>
      <w:r>
        <w:rPr>
          <w:spacing w:val="-16"/>
        </w:rPr>
        <w:t> </w:t>
      </w:r>
      <w:r>
        <w:rPr/>
        <w:t>daerah.</w:t>
      </w:r>
      <w:r>
        <w:rPr>
          <w:spacing w:val="-14"/>
        </w:rPr>
        <w:t> </w:t>
      </w:r>
      <w:r>
        <w:rPr/>
        <w:t>Pemerintah</w:t>
      </w:r>
      <w:r>
        <w:rPr>
          <w:spacing w:val="-13"/>
        </w:rPr>
        <w:t> </w:t>
      </w:r>
      <w:r>
        <w:rPr/>
        <w:t>daerah</w:t>
      </w:r>
      <w:r>
        <w:rPr>
          <w:spacing w:val="-16"/>
        </w:rPr>
        <w:t> </w:t>
      </w:r>
      <w:r>
        <w:rPr/>
        <w:t>perlu</w:t>
      </w:r>
      <w:r>
        <w:rPr>
          <w:spacing w:val="-13"/>
        </w:rPr>
        <w:t> </w:t>
      </w:r>
      <w:r>
        <w:rPr/>
        <w:t>melakukan</w:t>
      </w:r>
      <w:r>
        <w:rPr>
          <w:spacing w:val="-13"/>
        </w:rPr>
        <w:t> </w:t>
      </w:r>
      <w:r>
        <w:rPr/>
        <w:t>perluasan objek pajak daerah dan retribusi daerah dan pemberian diskresi dalam</w:t>
      </w:r>
      <w:r>
        <w:rPr>
          <w:spacing w:val="-1"/>
        </w:rPr>
        <w:t> </w:t>
      </w:r>
      <w:r>
        <w:rPr/>
        <w:t>penetapan</w:t>
      </w:r>
      <w:r>
        <w:rPr>
          <w:spacing w:val="-7"/>
        </w:rPr>
        <w:t> </w:t>
      </w:r>
      <w:r>
        <w:rPr/>
        <w:t>tarif.</w:t>
      </w:r>
      <w:r>
        <w:rPr>
          <w:spacing w:val="-5"/>
        </w:rPr>
        <w:t> </w:t>
      </w:r>
      <w:r>
        <w:rPr/>
        <w:t>Kebijakan</w:t>
      </w:r>
      <w:r>
        <w:rPr>
          <w:spacing w:val="-7"/>
        </w:rPr>
        <w:t> </w:t>
      </w:r>
      <w:r>
        <w:rPr/>
        <w:t>pajak</w:t>
      </w:r>
      <w:r>
        <w:rPr>
          <w:spacing w:val="-5"/>
        </w:rPr>
        <w:t> </w:t>
      </w:r>
      <w:r>
        <w:rPr/>
        <w:t>daerah</w:t>
      </w:r>
      <w:r>
        <w:rPr>
          <w:spacing w:val="-2"/>
        </w:rPr>
        <w:t> </w:t>
      </w:r>
      <w:r>
        <w:rPr/>
        <w:t>dan</w:t>
      </w:r>
      <w:r>
        <w:rPr>
          <w:spacing w:val="-7"/>
        </w:rPr>
        <w:t> </w:t>
      </w:r>
      <w:r>
        <w:rPr/>
        <w:t>retribusi</w:t>
      </w:r>
      <w:r>
        <w:rPr>
          <w:spacing w:val="-6"/>
        </w:rPr>
        <w:t> </w:t>
      </w:r>
      <w:r>
        <w:rPr/>
        <w:t>daerah dilaksanakan berdasarkan prinsip demokrasi, pemerataan dan keadilan, peran serta masyarakat, dan akuntabilitas dengan memperhatikan potensi daerah. Pajak daerah mempunyai kontribusi yang penting bagi proses pembangunan suatu daerah. Kemampuan pemerintah daerah dalam mengoptimalkan penggalian pajak daerah merupakan salah satu upaya pemerintah</w:t>
      </w:r>
    </w:p>
    <w:p>
      <w:pPr>
        <w:pStyle w:val="BodyText"/>
        <w:spacing w:after="0" w:line="360" w:lineRule="auto"/>
        <w:sectPr>
          <w:pgSz w:w="11910" w:h="16840"/>
          <w:pgMar w:header="0" w:footer="1186" w:top="1580" w:bottom="1380" w:left="1700" w:right="992"/>
        </w:sectPr>
      </w:pPr>
    </w:p>
    <w:p>
      <w:pPr>
        <w:pStyle w:val="BodyText"/>
        <w:spacing w:line="360" w:lineRule="auto" w:before="82"/>
        <w:ind w:left="1421" w:right="706"/>
      </w:pPr>
      <w:r>
        <w:rPr/>
        <w:t>daerah</w:t>
      </w:r>
      <w:r>
        <w:rPr>
          <w:spacing w:val="-9"/>
        </w:rPr>
        <w:t> </w:t>
      </w:r>
      <w:r>
        <w:rPr/>
        <w:t>dalam</w:t>
      </w:r>
      <w:r>
        <w:rPr>
          <w:spacing w:val="-8"/>
        </w:rPr>
        <w:t> </w:t>
      </w:r>
      <w:r>
        <w:rPr/>
        <w:t>menerapkan</w:t>
      </w:r>
      <w:r>
        <w:rPr>
          <w:spacing w:val="-9"/>
        </w:rPr>
        <w:t> </w:t>
      </w:r>
      <w:r>
        <w:rPr/>
        <w:t>otonomi</w:t>
      </w:r>
      <w:r>
        <w:rPr>
          <w:spacing w:val="-12"/>
        </w:rPr>
        <w:t> </w:t>
      </w:r>
      <w:r>
        <w:rPr/>
        <w:t>daerah</w:t>
      </w:r>
      <w:r>
        <w:rPr>
          <w:spacing w:val="-13"/>
        </w:rPr>
        <w:t> </w:t>
      </w:r>
      <w:r>
        <w:rPr/>
        <w:t>yaitu</w:t>
      </w:r>
      <w:r>
        <w:rPr>
          <w:spacing w:val="-9"/>
        </w:rPr>
        <w:t> </w:t>
      </w:r>
      <w:r>
        <w:rPr/>
        <w:t>dalam</w:t>
      </w:r>
      <w:r>
        <w:rPr>
          <w:spacing w:val="-8"/>
        </w:rPr>
        <w:t> </w:t>
      </w:r>
      <w:r>
        <w:rPr/>
        <w:t>membiayai kegiatan rumah tangga daerahnya sendiri.</w:t>
      </w:r>
    </w:p>
    <w:p>
      <w:pPr>
        <w:pStyle w:val="BodyText"/>
        <w:spacing w:before="163"/>
        <w:jc w:val="left"/>
      </w:pPr>
    </w:p>
    <w:p>
      <w:pPr>
        <w:pStyle w:val="BodyText"/>
        <w:spacing w:line="360" w:lineRule="auto" w:before="1"/>
        <w:ind w:left="1421" w:right="704"/>
      </w:pPr>
      <w:r>
        <w:rPr/>
        <w:t>Perpajakan merupakan salah satu kegiatan pemerintah berkaitan dengan pengelolaan keuangan negara yang berasal dari iuran masyarakat yang mempunyai tujuan untuk meningkatkan kesejahteraan</w:t>
      </w:r>
      <w:r>
        <w:rPr>
          <w:spacing w:val="-17"/>
        </w:rPr>
        <w:t> </w:t>
      </w:r>
      <w:r>
        <w:rPr/>
        <w:t>rakyat</w:t>
      </w:r>
      <w:r>
        <w:rPr>
          <w:spacing w:val="-16"/>
        </w:rPr>
        <w:t> </w:t>
      </w:r>
      <w:r>
        <w:rPr/>
        <w:t>melalui</w:t>
      </w:r>
      <w:r>
        <w:rPr>
          <w:spacing w:val="-17"/>
        </w:rPr>
        <w:t> </w:t>
      </w:r>
      <w:r>
        <w:rPr/>
        <w:t>perbaikan</w:t>
      </w:r>
      <w:r>
        <w:rPr>
          <w:spacing w:val="-16"/>
        </w:rPr>
        <w:t> </w:t>
      </w:r>
      <w:r>
        <w:rPr/>
        <w:t>dan</w:t>
      </w:r>
      <w:r>
        <w:rPr>
          <w:spacing w:val="-17"/>
        </w:rPr>
        <w:t> </w:t>
      </w:r>
      <w:r>
        <w:rPr/>
        <w:t>penambahan</w:t>
      </w:r>
      <w:r>
        <w:rPr>
          <w:spacing w:val="-16"/>
        </w:rPr>
        <w:t> </w:t>
      </w:r>
      <w:r>
        <w:rPr/>
        <w:t>pelayanan publik sehingga pemerataan dan peningkatan kesejahteraan masyarakat dapat tercapai serta mengurangi kesenjangan sosial antar penduduk.Pajak dapat dibedakan menjadi 2 macam berdasarkan wewenang pemungutannya pajak yaitu pajak pusat dan pajak daerah. Pajak pusat adalah pajak yang dipungut pemerintah pusat dan digunakan untuk membiayai rumah tangga Negara, sedangkan pajak daerah adalah pajak yang dipungut oleh pemerintah daerah untuk membiayai pembangunan daerah. Pada Penelitian ini akan dibahas terkait dengan pajak daerah.</w:t>
      </w:r>
    </w:p>
    <w:p>
      <w:pPr>
        <w:pStyle w:val="BodyText"/>
        <w:spacing w:before="158"/>
        <w:jc w:val="left"/>
      </w:pPr>
    </w:p>
    <w:p>
      <w:pPr>
        <w:pStyle w:val="Heading2"/>
        <w:numPr>
          <w:ilvl w:val="0"/>
          <w:numId w:val="11"/>
        </w:numPr>
        <w:tabs>
          <w:tab w:pos="1847" w:val="left" w:leader="none"/>
        </w:tabs>
        <w:spacing w:line="240" w:lineRule="auto" w:before="0" w:after="0"/>
        <w:ind w:left="1847" w:right="0" w:hanging="359"/>
        <w:jc w:val="both"/>
        <w:rPr>
          <w:rFonts w:ascii="Calibri"/>
        </w:rPr>
      </w:pPr>
      <w:r>
        <w:rPr/>
        <w:t>Pendapatan</w:t>
      </w:r>
      <w:r>
        <w:rPr>
          <w:spacing w:val="58"/>
        </w:rPr>
        <w:t> </w:t>
      </w:r>
      <w:r>
        <w:rPr/>
        <w:t>Pajak</w:t>
      </w:r>
      <w:r>
        <w:rPr>
          <w:spacing w:val="56"/>
        </w:rPr>
        <w:t> </w:t>
      </w:r>
      <w:r>
        <w:rPr>
          <w:spacing w:val="-2"/>
        </w:rPr>
        <w:t>Daerah</w:t>
      </w:r>
    </w:p>
    <w:p>
      <w:pPr>
        <w:pStyle w:val="BodyText"/>
        <w:spacing w:before="157"/>
        <w:ind w:left="1944"/>
      </w:pPr>
      <w:r>
        <w:rPr/>
        <w:t>Pengertian</w:t>
      </w:r>
      <w:r>
        <w:rPr>
          <w:spacing w:val="-12"/>
        </w:rPr>
        <w:t> </w:t>
      </w:r>
      <w:r>
        <w:rPr/>
        <w:t>pajak</w:t>
      </w:r>
      <w:r>
        <w:rPr>
          <w:spacing w:val="-9"/>
        </w:rPr>
        <w:t> </w:t>
      </w:r>
      <w:r>
        <w:rPr/>
        <w:t>daerah</w:t>
      </w:r>
      <w:r>
        <w:rPr>
          <w:spacing w:val="-9"/>
        </w:rPr>
        <w:t> </w:t>
      </w:r>
      <w:r>
        <w:rPr/>
        <w:t>berdasarkan</w:t>
      </w:r>
      <w:r>
        <w:rPr>
          <w:spacing w:val="-10"/>
        </w:rPr>
        <w:t> </w:t>
      </w:r>
      <w:r>
        <w:rPr/>
        <w:t>Undang-Undang</w:t>
      </w:r>
      <w:r>
        <w:rPr>
          <w:spacing w:val="-10"/>
        </w:rPr>
        <w:t> </w:t>
      </w:r>
      <w:r>
        <w:rPr>
          <w:spacing w:val="-2"/>
        </w:rPr>
        <w:t>Nomor</w:t>
      </w:r>
    </w:p>
    <w:p>
      <w:pPr>
        <w:pStyle w:val="BodyText"/>
        <w:spacing w:line="360" w:lineRule="auto" w:before="156"/>
        <w:ind w:left="1944" w:right="697"/>
      </w:pPr>
      <w:r>
        <w:rPr/>
        <w:t>28 Tahun 2009 pasal 1 ayat 10 Tentang Pajak Daerah dan Retribusi</w:t>
      </w:r>
      <w:r>
        <w:rPr>
          <w:spacing w:val="-10"/>
        </w:rPr>
        <w:t> </w:t>
      </w:r>
      <w:r>
        <w:rPr/>
        <w:t>Daerah</w:t>
      </w:r>
      <w:r>
        <w:rPr>
          <w:spacing w:val="-11"/>
        </w:rPr>
        <w:t> </w:t>
      </w:r>
      <w:r>
        <w:rPr/>
        <w:t>adalah</w:t>
      </w:r>
      <w:r>
        <w:rPr>
          <w:spacing w:val="-11"/>
        </w:rPr>
        <w:t> </w:t>
      </w:r>
      <w:r>
        <w:rPr/>
        <w:t>iuran</w:t>
      </w:r>
      <w:r>
        <w:rPr>
          <w:spacing w:val="-11"/>
        </w:rPr>
        <w:t> </w:t>
      </w:r>
      <w:r>
        <w:rPr/>
        <w:t>wajib</w:t>
      </w:r>
      <w:r>
        <w:rPr>
          <w:spacing w:val="-7"/>
        </w:rPr>
        <w:t> </w:t>
      </w:r>
      <w:r>
        <w:rPr/>
        <w:t>yang</w:t>
      </w:r>
      <w:r>
        <w:rPr>
          <w:spacing w:val="-12"/>
        </w:rPr>
        <w:t> </w:t>
      </w:r>
      <w:r>
        <w:rPr/>
        <w:t>dilakukan</w:t>
      </w:r>
      <w:r>
        <w:rPr>
          <w:spacing w:val="-11"/>
        </w:rPr>
        <w:t> </w:t>
      </w:r>
      <w:r>
        <w:rPr/>
        <w:t>oleh</w:t>
      </w:r>
      <w:r>
        <w:rPr>
          <w:spacing w:val="-6"/>
        </w:rPr>
        <w:t> </w:t>
      </w:r>
      <w:r>
        <w:rPr/>
        <w:t>orang pribadi atau badan kepada daerah tanpa imbalan langsung yang</w:t>
      </w:r>
      <w:r>
        <w:rPr>
          <w:spacing w:val="-8"/>
        </w:rPr>
        <w:t> </w:t>
      </w:r>
      <w:r>
        <w:rPr/>
        <w:t>seimbang</w:t>
      </w:r>
      <w:r>
        <w:rPr>
          <w:spacing w:val="-7"/>
        </w:rPr>
        <w:t> </w:t>
      </w:r>
      <w:r>
        <w:rPr/>
        <w:t>yang</w:t>
      </w:r>
      <w:r>
        <w:rPr>
          <w:spacing w:val="-8"/>
        </w:rPr>
        <w:t> </w:t>
      </w:r>
      <w:r>
        <w:rPr/>
        <w:t>dapat</w:t>
      </w:r>
      <w:r>
        <w:rPr>
          <w:spacing w:val="-6"/>
        </w:rPr>
        <w:t> </w:t>
      </w:r>
      <w:r>
        <w:rPr/>
        <w:t>dipaksakan</w:t>
      </w:r>
      <w:r>
        <w:rPr>
          <w:spacing w:val="-7"/>
        </w:rPr>
        <w:t> </w:t>
      </w:r>
      <w:r>
        <w:rPr/>
        <w:t>berdasarkan</w:t>
      </w:r>
      <w:r>
        <w:rPr>
          <w:spacing w:val="-6"/>
        </w:rPr>
        <w:t> </w:t>
      </w:r>
      <w:r>
        <w:rPr/>
        <w:t>peraturan perundang-undangan yang berlaku, yang digunakan untuk membiayai penyelenggaraan pemerintah daerah dan pembangunan. Pajak daerah adalah kontribusi wajib kepada daerah</w:t>
      </w:r>
      <w:r>
        <w:rPr>
          <w:spacing w:val="-4"/>
        </w:rPr>
        <w:t> </w:t>
      </w:r>
      <w:r>
        <w:rPr/>
        <w:t>yang</w:t>
      </w:r>
      <w:r>
        <w:rPr>
          <w:spacing w:val="-4"/>
        </w:rPr>
        <w:t> </w:t>
      </w:r>
      <w:r>
        <w:rPr/>
        <w:t>terutang</w:t>
      </w:r>
      <w:r>
        <w:rPr>
          <w:spacing w:val="-4"/>
        </w:rPr>
        <w:t> </w:t>
      </w:r>
      <w:r>
        <w:rPr/>
        <w:t>oleh</w:t>
      </w:r>
      <w:r>
        <w:rPr>
          <w:spacing w:val="-4"/>
        </w:rPr>
        <w:t> </w:t>
      </w:r>
      <w:r>
        <w:rPr/>
        <w:t>orang</w:t>
      </w:r>
      <w:r>
        <w:rPr>
          <w:spacing w:val="-4"/>
        </w:rPr>
        <w:t> </w:t>
      </w:r>
      <w:r>
        <w:rPr/>
        <w:t>pribadi</w:t>
      </w:r>
      <w:r>
        <w:rPr>
          <w:spacing w:val="-3"/>
        </w:rPr>
        <w:t> </w:t>
      </w:r>
      <w:r>
        <w:rPr/>
        <w:t>maupun</w:t>
      </w:r>
      <w:r>
        <w:rPr>
          <w:spacing w:val="-4"/>
        </w:rPr>
        <w:t> </w:t>
      </w:r>
      <w:r>
        <w:rPr/>
        <w:t>badan</w:t>
      </w:r>
      <w:r>
        <w:rPr>
          <w:spacing w:val="-4"/>
        </w:rPr>
        <w:t> </w:t>
      </w:r>
      <w:r>
        <w:rPr/>
        <w:t>yang bersifat memaksa, dengan</w:t>
      </w:r>
      <w:r>
        <w:rPr>
          <w:spacing w:val="-1"/>
        </w:rPr>
        <w:t> </w:t>
      </w:r>
      <w:r>
        <w:rPr/>
        <w:t>tidak mendapatkan imbalan</w:t>
      </w:r>
      <w:r>
        <w:rPr>
          <w:spacing w:val="-1"/>
        </w:rPr>
        <w:t> </w:t>
      </w:r>
      <w:r>
        <w:rPr/>
        <w:t>secara</w:t>
      </w:r>
    </w:p>
    <w:p>
      <w:pPr>
        <w:pStyle w:val="BodyText"/>
        <w:spacing w:after="0" w:line="360" w:lineRule="auto"/>
        <w:sectPr>
          <w:pgSz w:w="11910" w:h="16840"/>
          <w:pgMar w:header="0" w:footer="1186" w:top="1580" w:bottom="1380" w:left="1700" w:right="992"/>
        </w:sectPr>
      </w:pPr>
    </w:p>
    <w:p>
      <w:pPr>
        <w:pStyle w:val="BodyText"/>
        <w:spacing w:line="360" w:lineRule="auto" w:before="82"/>
        <w:ind w:left="1944" w:right="706"/>
      </w:pPr>
      <w:r>
        <w:rPr/>
        <w:t>langsung dan digunakan untuk keperluan Daerah bagi sebesarbesarnya kemakmuran rakyat.</w:t>
      </w:r>
    </w:p>
    <w:p>
      <w:pPr>
        <w:pStyle w:val="BodyText"/>
        <w:spacing w:before="163"/>
        <w:jc w:val="left"/>
      </w:pPr>
    </w:p>
    <w:p>
      <w:pPr>
        <w:pStyle w:val="BodyText"/>
        <w:spacing w:line="360" w:lineRule="auto" w:before="1"/>
        <w:ind w:left="1944" w:right="697"/>
      </w:pPr>
      <w:r>
        <w:rPr/>
        <w:t>Dalam Undang-Undang Nomor 1 Tahun 2022 tentang Hubungan Keuangan Antara Pemerintah Pusat dan Pemerintahan Daerah diatur mengenai perpajakan di daerah terutama</w:t>
      </w:r>
      <w:r>
        <w:rPr>
          <w:spacing w:val="-7"/>
        </w:rPr>
        <w:t> </w:t>
      </w:r>
      <w:r>
        <w:rPr/>
        <w:t>jenis-jenis</w:t>
      </w:r>
      <w:r>
        <w:rPr>
          <w:spacing w:val="-7"/>
        </w:rPr>
        <w:t> </w:t>
      </w:r>
      <w:r>
        <w:rPr/>
        <w:t>pajak</w:t>
      </w:r>
      <w:r>
        <w:rPr>
          <w:spacing w:val="-6"/>
        </w:rPr>
        <w:t> </w:t>
      </w:r>
      <w:r>
        <w:rPr/>
        <w:t>daerah</w:t>
      </w:r>
      <w:r>
        <w:rPr>
          <w:spacing w:val="-7"/>
        </w:rPr>
        <w:t> </w:t>
      </w:r>
      <w:r>
        <w:rPr/>
        <w:t>dan</w:t>
      </w:r>
      <w:r>
        <w:rPr>
          <w:spacing w:val="-7"/>
        </w:rPr>
        <w:t> </w:t>
      </w:r>
      <w:r>
        <w:rPr/>
        <w:t>yang</w:t>
      </w:r>
      <w:r>
        <w:rPr>
          <w:spacing w:val="-4"/>
        </w:rPr>
        <w:t> </w:t>
      </w:r>
      <w:r>
        <w:rPr/>
        <w:t>berhak</w:t>
      </w:r>
      <w:r>
        <w:rPr>
          <w:spacing w:val="-6"/>
        </w:rPr>
        <w:t> </w:t>
      </w:r>
      <w:r>
        <w:rPr/>
        <w:t>memungut pajak daerah. Jenis Pajak yang dipungut oleh Pemerintah Provinsi adalah Pajak kendaraan bermotor, bea balik nama kendaraan bermotor, pajak alat berat, penggunaan bahan bakar kendaraan bermotor, pengambilan dan/atau pemanfaatan air permukaan, pajak rokok, dan pajak mineral bukan logam dan batuan. Sedangkan untuk pajak yang dipungut</w:t>
      </w:r>
      <w:r>
        <w:rPr>
          <w:spacing w:val="-11"/>
        </w:rPr>
        <w:t> </w:t>
      </w:r>
      <w:r>
        <w:rPr/>
        <w:t>oleh</w:t>
      </w:r>
      <w:r>
        <w:rPr>
          <w:spacing w:val="-13"/>
        </w:rPr>
        <w:t> </w:t>
      </w:r>
      <w:r>
        <w:rPr/>
        <w:t>Pemerintah</w:t>
      </w:r>
      <w:r>
        <w:rPr>
          <w:spacing w:val="-13"/>
        </w:rPr>
        <w:t> </w:t>
      </w:r>
      <w:r>
        <w:rPr/>
        <w:t>Kota/Kabupaten</w:t>
      </w:r>
      <w:r>
        <w:rPr>
          <w:spacing w:val="-12"/>
        </w:rPr>
        <w:t> </w:t>
      </w:r>
      <w:r>
        <w:rPr/>
        <w:t>adalah</w:t>
      </w:r>
      <w:r>
        <w:rPr>
          <w:spacing w:val="-13"/>
        </w:rPr>
        <w:t> </w:t>
      </w:r>
      <w:r>
        <w:rPr/>
        <w:t>Pajak</w:t>
      </w:r>
      <w:r>
        <w:rPr>
          <w:spacing w:val="-11"/>
        </w:rPr>
        <w:t> </w:t>
      </w:r>
      <w:r>
        <w:rPr/>
        <w:t>hotel, Pajak Restoran, Pajak Reklame, Pajak penerangan jalan, pajak parkir pajak air tanah, pajak bumi dan bangunan perdesaan dan perkotaan, dan Pajak perolehan ha katas tanah dan/atau </w:t>
      </w:r>
      <w:r>
        <w:rPr>
          <w:spacing w:val="-2"/>
        </w:rPr>
        <w:t>bangunan.</w:t>
      </w:r>
    </w:p>
    <w:p>
      <w:pPr>
        <w:pStyle w:val="BodyText"/>
        <w:spacing w:before="160"/>
        <w:jc w:val="left"/>
      </w:pPr>
    </w:p>
    <w:p>
      <w:pPr>
        <w:pStyle w:val="BodyText"/>
        <w:spacing w:line="360" w:lineRule="auto" w:before="1"/>
        <w:ind w:left="1944" w:right="700"/>
      </w:pPr>
      <w:r>
        <w:rPr/>
        <w:t>Ada dua fungsi pajak yaitu (1) Fungsi Budgetir (pendanaan) adalah fungsi yang letaknya disektor publik dan pajak merupakan suatu alat atau sumber untuk memasukkan uang kedalam kas negara yang pada waktunya akan digunakan untuk membiayai pengeluaran negara. (2) Fungsi Regulair (mengatur) adalah fungsi tambahan karena hanya sebagai fungsi pelengkap dari fungsi utama pajak. Dalam pemungutannya pajak dibagi menjadi tiga, yaitu:</w:t>
      </w:r>
    </w:p>
    <w:p>
      <w:pPr>
        <w:pStyle w:val="BodyText"/>
        <w:spacing w:after="0" w:line="360" w:lineRule="auto"/>
        <w:sectPr>
          <w:pgSz w:w="11910" w:h="16840"/>
          <w:pgMar w:header="0" w:footer="1186" w:top="1580" w:bottom="1380" w:left="1700" w:right="992"/>
        </w:sectPr>
      </w:pPr>
    </w:p>
    <w:p>
      <w:pPr>
        <w:pStyle w:val="ListParagraph"/>
        <w:numPr>
          <w:ilvl w:val="0"/>
          <w:numId w:val="12"/>
        </w:numPr>
        <w:tabs>
          <w:tab w:pos="2551" w:val="left" w:leader="none"/>
          <w:tab w:pos="2554" w:val="left" w:leader="none"/>
        </w:tabs>
        <w:spacing w:line="360" w:lineRule="auto" w:before="82" w:after="0"/>
        <w:ind w:left="2554" w:right="701" w:hanging="567"/>
        <w:jc w:val="both"/>
        <w:rPr>
          <w:sz w:val="24"/>
        </w:rPr>
      </w:pPr>
      <w:r>
        <w:rPr>
          <w:i/>
          <w:sz w:val="24"/>
        </w:rPr>
        <w:t>Official Assessment System </w:t>
      </w:r>
      <w:r>
        <w:rPr>
          <w:sz w:val="24"/>
        </w:rPr>
        <w:t>yaitu sistem pemungutan pajak yang memberi kewenangan aparatur perpajakan untuk menentukan jumlah pajak sendiri yang terutang setiap tahunnya sesuai dengan peraturan perundang- undangan perpajakan yang berlaku.</w:t>
      </w:r>
    </w:p>
    <w:p>
      <w:pPr>
        <w:pStyle w:val="ListParagraph"/>
        <w:numPr>
          <w:ilvl w:val="0"/>
          <w:numId w:val="12"/>
        </w:numPr>
        <w:tabs>
          <w:tab w:pos="2551" w:val="left" w:leader="none"/>
          <w:tab w:pos="2554" w:val="left" w:leader="none"/>
        </w:tabs>
        <w:spacing w:line="360" w:lineRule="auto" w:before="2" w:after="0"/>
        <w:ind w:left="2554" w:right="701" w:hanging="567"/>
        <w:jc w:val="both"/>
        <w:rPr>
          <w:sz w:val="24"/>
        </w:rPr>
      </w:pPr>
      <w:r>
        <w:rPr>
          <w:i/>
          <w:sz w:val="24"/>
        </w:rPr>
        <w:t>Self Assessment System </w:t>
      </w:r>
      <w:r>
        <w:rPr>
          <w:sz w:val="24"/>
        </w:rPr>
        <w:t>yaitu sistem pemungutan pajak yang memberi wewenang wajib pajak dalam menentukan jumlah pajak sendiri yang terutang setiap tahunnya sesuai dengan peraturan perundang- undangan perpajakan yang berlaku.</w:t>
      </w:r>
    </w:p>
    <w:p>
      <w:pPr>
        <w:pStyle w:val="ListParagraph"/>
        <w:numPr>
          <w:ilvl w:val="0"/>
          <w:numId w:val="12"/>
        </w:numPr>
        <w:tabs>
          <w:tab w:pos="2551" w:val="left" w:leader="none"/>
          <w:tab w:pos="2554" w:val="left" w:leader="none"/>
        </w:tabs>
        <w:spacing w:line="360" w:lineRule="auto" w:before="2" w:after="0"/>
        <w:ind w:left="2554" w:right="704" w:hanging="567"/>
        <w:jc w:val="both"/>
        <w:rPr>
          <w:sz w:val="24"/>
        </w:rPr>
      </w:pPr>
      <w:r>
        <w:rPr>
          <w:i/>
          <w:sz w:val="24"/>
        </w:rPr>
        <w:t>With Holding System </w:t>
      </w:r>
      <w:r>
        <w:rPr>
          <w:sz w:val="24"/>
        </w:rPr>
        <w:t>yaitu sistem pemungutan pajak yang memberi wewenang kepada pihak ketiga yang ditunjuk untuk menentukan besarnya pajak yang terutang oleh wajib pajak seesuai dengan peraturan perundang- undangan perpajakan yang berlaku.</w:t>
      </w:r>
    </w:p>
    <w:p>
      <w:pPr>
        <w:pStyle w:val="BodyText"/>
        <w:spacing w:before="162"/>
        <w:jc w:val="left"/>
      </w:pPr>
    </w:p>
    <w:p>
      <w:pPr>
        <w:pStyle w:val="BodyText"/>
        <w:spacing w:line="360" w:lineRule="auto"/>
        <w:ind w:left="1944" w:right="699"/>
      </w:pPr>
      <w:r>
        <w:rPr/>
        <w:t>Pajak dan retribusi memiliki pemahaman yang berbeda. Dari sisi hukum dan kebijakan, Pajak dan pungutan lain yang bersifat memaksa untuk keperluan negara diatur dengan undang-undang. Pajak merupakan salah satu sarana pemerataan pendapatan warga negara. Jadi ketika membayar pajak dalam jumlah tertentu, Anda tidak langsung menerima manfaat</w:t>
      </w:r>
      <w:r>
        <w:rPr>
          <w:spacing w:val="-10"/>
        </w:rPr>
        <w:t> </w:t>
      </w:r>
      <w:r>
        <w:rPr/>
        <w:t>pajak</w:t>
      </w:r>
      <w:r>
        <w:rPr>
          <w:spacing w:val="-10"/>
        </w:rPr>
        <w:t> </w:t>
      </w:r>
      <w:r>
        <w:rPr/>
        <w:t>yang</w:t>
      </w:r>
      <w:r>
        <w:rPr>
          <w:spacing w:val="-12"/>
        </w:rPr>
        <w:t> </w:t>
      </w:r>
      <w:r>
        <w:rPr/>
        <w:t>dibayar,</w:t>
      </w:r>
      <w:r>
        <w:rPr>
          <w:spacing w:val="-6"/>
        </w:rPr>
        <w:t> </w:t>
      </w:r>
      <w:r>
        <w:rPr/>
        <w:t>yang</w:t>
      </w:r>
      <w:r>
        <w:rPr>
          <w:spacing w:val="-13"/>
        </w:rPr>
        <w:t> </w:t>
      </w:r>
      <w:r>
        <w:rPr/>
        <w:t>akan</w:t>
      </w:r>
      <w:r>
        <w:rPr>
          <w:spacing w:val="-8"/>
        </w:rPr>
        <w:t> </w:t>
      </w:r>
      <w:r>
        <w:rPr/>
        <w:t>Anda</w:t>
      </w:r>
      <w:r>
        <w:rPr>
          <w:spacing w:val="-8"/>
        </w:rPr>
        <w:t> </w:t>
      </w:r>
      <w:r>
        <w:rPr/>
        <w:t>dapatkan</w:t>
      </w:r>
      <w:r>
        <w:rPr>
          <w:spacing w:val="-11"/>
        </w:rPr>
        <w:t> </w:t>
      </w:r>
      <w:r>
        <w:rPr/>
        <w:t>berupa perbaikan jalan raya di daerah Anda, fasilitas kesehatan gratis bagi keluarga, beasiswa pendidikan bagi anak Anda, dan lain- lainnya. Objek pajak bersifat umum contohnya pajak penghasilan,</w:t>
      </w:r>
      <w:r>
        <w:rPr>
          <w:spacing w:val="-6"/>
        </w:rPr>
        <w:t> </w:t>
      </w:r>
      <w:r>
        <w:rPr/>
        <w:t>pajak</w:t>
      </w:r>
      <w:r>
        <w:rPr>
          <w:spacing w:val="-7"/>
        </w:rPr>
        <w:t> </w:t>
      </w:r>
      <w:r>
        <w:rPr/>
        <w:t>barang</w:t>
      </w:r>
      <w:r>
        <w:rPr>
          <w:spacing w:val="-9"/>
        </w:rPr>
        <w:t> </w:t>
      </w:r>
      <w:r>
        <w:rPr/>
        <w:t>mewah,</w:t>
      </w:r>
      <w:r>
        <w:rPr>
          <w:spacing w:val="-7"/>
        </w:rPr>
        <w:t> </w:t>
      </w:r>
      <w:r>
        <w:rPr/>
        <w:t>pajak</w:t>
      </w:r>
      <w:r>
        <w:rPr>
          <w:spacing w:val="-7"/>
        </w:rPr>
        <w:t> </w:t>
      </w:r>
      <w:r>
        <w:rPr/>
        <w:t>kendaraan</w:t>
      </w:r>
      <w:r>
        <w:rPr>
          <w:spacing w:val="-7"/>
        </w:rPr>
        <w:t> </w:t>
      </w:r>
      <w:r>
        <w:rPr/>
        <w:t>bermotor. Selain itu Sifat pemungutan pajak dapat dipaksakan sehingga</w:t>
      </w:r>
    </w:p>
    <w:p>
      <w:pPr>
        <w:pStyle w:val="BodyText"/>
        <w:spacing w:after="0" w:line="360" w:lineRule="auto"/>
        <w:sectPr>
          <w:pgSz w:w="11910" w:h="16840"/>
          <w:pgMar w:header="0" w:footer="1186" w:top="1580" w:bottom="1380" w:left="1700" w:right="992"/>
        </w:sectPr>
      </w:pPr>
    </w:p>
    <w:p>
      <w:pPr>
        <w:pStyle w:val="BodyText"/>
        <w:spacing w:line="360" w:lineRule="auto" w:before="82"/>
        <w:ind w:left="1944" w:right="705"/>
      </w:pPr>
      <w:r>
        <w:rPr/>
        <w:t>bila tidak membayar pajak ada konsekuensi yang harus </w:t>
      </w:r>
      <w:r>
        <w:rPr>
          <w:spacing w:val="-2"/>
        </w:rPr>
        <w:t>ditanggung.</w:t>
      </w:r>
    </w:p>
    <w:p>
      <w:pPr>
        <w:pStyle w:val="BodyText"/>
        <w:spacing w:before="163"/>
        <w:jc w:val="left"/>
      </w:pPr>
    </w:p>
    <w:p>
      <w:pPr>
        <w:pStyle w:val="BodyText"/>
        <w:spacing w:line="360" w:lineRule="auto" w:before="1"/>
        <w:ind w:left="1944" w:right="699"/>
      </w:pPr>
      <w:r>
        <w:rPr/>
        <w:t>Lembaga yang melakukan pemungutan pajak dapat dibagi menjadi dua, yaitu Pajak Negara yang pemungutannya dilakukan oleh Direktorat Pajak dan Pajak Daerah yang pemungutannya dilakukan oleh organisasi perangkat daerah yang ditunjuk misalnya Badan Pendapatan Daerah atau Dinas Pelayanan</w:t>
      </w:r>
      <w:r>
        <w:rPr>
          <w:spacing w:val="-7"/>
        </w:rPr>
        <w:t> </w:t>
      </w:r>
      <w:r>
        <w:rPr/>
        <w:t>Pajak.</w:t>
      </w:r>
      <w:r>
        <w:rPr>
          <w:spacing w:val="-6"/>
        </w:rPr>
        <w:t> </w:t>
      </w:r>
      <w:r>
        <w:rPr/>
        <w:t>Secara</w:t>
      </w:r>
      <w:r>
        <w:rPr>
          <w:spacing w:val="-8"/>
        </w:rPr>
        <w:t> </w:t>
      </w:r>
      <w:r>
        <w:rPr/>
        <w:t>umum,</w:t>
      </w:r>
      <w:r>
        <w:rPr>
          <w:spacing w:val="-6"/>
        </w:rPr>
        <w:t> </w:t>
      </w:r>
      <w:r>
        <w:rPr/>
        <w:t>tujuan</w:t>
      </w:r>
      <w:r>
        <w:rPr>
          <w:spacing w:val="-8"/>
        </w:rPr>
        <w:t> </w:t>
      </w:r>
      <w:r>
        <w:rPr/>
        <w:t>yang</w:t>
      </w:r>
      <w:r>
        <w:rPr>
          <w:spacing w:val="-7"/>
        </w:rPr>
        <w:t> </w:t>
      </w:r>
      <w:r>
        <w:rPr/>
        <w:t>dapat</w:t>
      </w:r>
      <w:r>
        <w:rPr>
          <w:spacing w:val="-6"/>
        </w:rPr>
        <w:t> </w:t>
      </w:r>
      <w:r>
        <w:rPr/>
        <w:t>dicapai</w:t>
      </w:r>
      <w:r>
        <w:rPr>
          <w:spacing w:val="-6"/>
        </w:rPr>
        <w:t> </w:t>
      </w:r>
      <w:r>
        <w:rPr/>
        <w:t>dari diberlakukannya pajak adalah untuk mencapai kondisi meningkatnya ekonomi suatu negara yaitu (1) untuk membatasi konsumsi dan dengan demikian mentransfer sumber dari konsumsi ke investasi. (2) untuk mendorong tabungan</w:t>
      </w:r>
      <w:r>
        <w:rPr>
          <w:spacing w:val="-11"/>
        </w:rPr>
        <w:t> </w:t>
      </w:r>
      <w:r>
        <w:rPr/>
        <w:t>dan</w:t>
      </w:r>
      <w:r>
        <w:rPr>
          <w:spacing w:val="-11"/>
        </w:rPr>
        <w:t> </w:t>
      </w:r>
      <w:r>
        <w:rPr/>
        <w:t>menanam</w:t>
      </w:r>
      <w:r>
        <w:rPr>
          <w:spacing w:val="-10"/>
        </w:rPr>
        <w:t> </w:t>
      </w:r>
      <w:r>
        <w:rPr/>
        <w:t>modal.</w:t>
      </w:r>
      <w:r>
        <w:rPr>
          <w:spacing w:val="-10"/>
        </w:rPr>
        <w:t> </w:t>
      </w:r>
      <w:r>
        <w:rPr/>
        <w:t>(3)</w:t>
      </w:r>
      <w:r>
        <w:rPr>
          <w:spacing w:val="-11"/>
        </w:rPr>
        <w:t> </w:t>
      </w:r>
      <w:r>
        <w:rPr/>
        <w:t>untuk</w:t>
      </w:r>
      <w:r>
        <w:rPr>
          <w:spacing w:val="-10"/>
        </w:rPr>
        <w:t> </w:t>
      </w:r>
      <w:r>
        <w:rPr/>
        <w:t>mentransfer</w:t>
      </w:r>
      <w:r>
        <w:rPr>
          <w:spacing w:val="-11"/>
        </w:rPr>
        <w:t> </w:t>
      </w:r>
      <w:r>
        <w:rPr/>
        <w:t>sumber dari tangan masyarakat ke tangan pemerintah sehingga memungkinkan adanya investasi sumber dari tangan masyarakat ke tangan pemerintah sehingga memungkinkan adanya investasi pemerintah. (4) untuk mmodifikasi pola investasi.</w:t>
      </w:r>
      <w:r>
        <w:rPr>
          <w:spacing w:val="-5"/>
        </w:rPr>
        <w:t> </w:t>
      </w:r>
      <w:r>
        <w:rPr/>
        <w:t>(5)</w:t>
      </w:r>
      <w:r>
        <w:rPr>
          <w:spacing w:val="-6"/>
        </w:rPr>
        <w:t> </w:t>
      </w:r>
      <w:r>
        <w:rPr/>
        <w:t>untuk</w:t>
      </w:r>
      <w:r>
        <w:rPr>
          <w:spacing w:val="-5"/>
        </w:rPr>
        <w:t> </w:t>
      </w:r>
      <w:r>
        <w:rPr/>
        <w:t>mengurangi</w:t>
      </w:r>
      <w:r>
        <w:rPr>
          <w:spacing w:val="-6"/>
        </w:rPr>
        <w:t> </w:t>
      </w:r>
      <w:r>
        <w:rPr/>
        <w:t>ketimpangan</w:t>
      </w:r>
      <w:r>
        <w:rPr>
          <w:spacing w:val="-2"/>
        </w:rPr>
        <w:t> </w:t>
      </w:r>
      <w:r>
        <w:rPr/>
        <w:t>ekonomi</w:t>
      </w:r>
      <w:r>
        <w:rPr>
          <w:spacing w:val="-6"/>
        </w:rPr>
        <w:t> </w:t>
      </w:r>
      <w:r>
        <w:rPr/>
        <w:t>dan</w:t>
      </w:r>
      <w:r>
        <w:rPr>
          <w:spacing w:val="-7"/>
        </w:rPr>
        <w:t> </w:t>
      </w:r>
      <w:r>
        <w:rPr/>
        <w:t>(6) untuk memobilisasi surplus ekonomi(Nurkse, 1971).</w:t>
      </w:r>
    </w:p>
    <w:p>
      <w:pPr>
        <w:pStyle w:val="BodyText"/>
        <w:spacing w:before="163"/>
        <w:jc w:val="left"/>
      </w:pPr>
    </w:p>
    <w:p>
      <w:pPr>
        <w:pStyle w:val="BodyText"/>
        <w:spacing w:line="360" w:lineRule="auto" w:before="1"/>
        <w:ind w:left="1843" w:right="699"/>
      </w:pPr>
      <w:r>
        <w:rPr/>
        <w:t>Berdasarkan Undang-Undang Nomor 1 Tahun 2022 Ketentuan Umum angka 21 yang dimaksud dengan Pajak Daerah adalah kontribusi wajib kepada daerah yang terutang oleh orang pribadi atau badan yang bersifat memaksa berdasarkan Undang-Undang, dengan tidak mendapatkan imbalan secara langsung</w:t>
      </w:r>
      <w:r>
        <w:rPr>
          <w:spacing w:val="-12"/>
        </w:rPr>
        <w:t> </w:t>
      </w:r>
      <w:r>
        <w:rPr/>
        <w:t>dan</w:t>
      </w:r>
      <w:r>
        <w:rPr>
          <w:spacing w:val="-12"/>
        </w:rPr>
        <w:t> </w:t>
      </w:r>
      <w:r>
        <w:rPr/>
        <w:t>digunakan</w:t>
      </w:r>
      <w:r>
        <w:rPr>
          <w:spacing w:val="-11"/>
        </w:rPr>
        <w:t> </w:t>
      </w:r>
      <w:r>
        <w:rPr/>
        <w:t>untuk</w:t>
      </w:r>
      <w:r>
        <w:rPr>
          <w:spacing w:val="-11"/>
        </w:rPr>
        <w:t> </w:t>
      </w:r>
      <w:r>
        <w:rPr/>
        <w:t>keperluan</w:t>
      </w:r>
      <w:r>
        <w:rPr>
          <w:spacing w:val="-12"/>
        </w:rPr>
        <w:t> </w:t>
      </w:r>
      <w:r>
        <w:rPr/>
        <w:t>Daerah</w:t>
      </w:r>
      <w:r>
        <w:rPr>
          <w:spacing w:val="-12"/>
        </w:rPr>
        <w:t> </w:t>
      </w:r>
      <w:r>
        <w:rPr/>
        <w:t>bagi</w:t>
      </w:r>
      <w:r>
        <w:rPr>
          <w:spacing w:val="-11"/>
        </w:rPr>
        <w:t> </w:t>
      </w:r>
      <w:r>
        <w:rPr/>
        <w:t>sebesar- besarnya kemakmuran rakyat. Adapun</w:t>
      </w:r>
      <w:r>
        <w:rPr>
          <w:spacing w:val="-1"/>
        </w:rPr>
        <w:t> </w:t>
      </w:r>
      <w:r>
        <w:rPr/>
        <w:t>jenis-jenis Pajak Daerah</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1"/>
      </w:pPr>
      <w:r>
        <w:rPr/>
        <w:t>Kabupaten/Kota meliputi: (a) PBB-P2; (b) BPHTB; (c) PBJT; (d) Pajak Reklame; (e) PAT; (f) Pajak Mineral Bukan Logam dan Batuan; (g) Pajak Parkir; (h) Pajak Air Tanah; (i) Pajak Sarang Burung Walet;</w:t>
      </w:r>
      <w:r>
        <w:rPr>
          <w:spacing w:val="40"/>
        </w:rPr>
        <w:t> </w:t>
      </w:r>
      <w:r>
        <w:rPr/>
        <w:t>(j) Opsen PKB; (k) Opsen BBNKB.</w:t>
      </w:r>
    </w:p>
    <w:p>
      <w:pPr>
        <w:pStyle w:val="BodyText"/>
        <w:spacing w:before="161"/>
        <w:jc w:val="left"/>
      </w:pPr>
    </w:p>
    <w:p>
      <w:pPr>
        <w:pStyle w:val="BodyText"/>
        <w:spacing w:line="360" w:lineRule="auto" w:before="1"/>
        <w:ind w:left="1843" w:right="704"/>
      </w:pPr>
      <w:r>
        <w:rPr/>
        <w:t>Jenis pajak Kabupaten/Kota tidak bersifat limitatif, artinya Kabupaten/Kota diberi peluang untuk menggali potensi sumber-sumber keuangannya selain yang ditetapkan secara eksplisit, kabupaten/kota juga masih diberi kewenangan untuk menetapkan</w:t>
      </w:r>
      <w:r>
        <w:rPr>
          <w:spacing w:val="-3"/>
        </w:rPr>
        <w:t> </w:t>
      </w:r>
      <w:r>
        <w:rPr/>
        <w:t>jenis</w:t>
      </w:r>
      <w:r>
        <w:rPr>
          <w:spacing w:val="-3"/>
        </w:rPr>
        <w:t> </w:t>
      </w:r>
      <w:r>
        <w:rPr/>
        <w:t>Pajak</w:t>
      </w:r>
      <w:r>
        <w:rPr>
          <w:spacing w:val="-1"/>
        </w:rPr>
        <w:t> </w:t>
      </w:r>
      <w:r>
        <w:rPr/>
        <w:t>lain</w:t>
      </w:r>
      <w:r>
        <w:rPr>
          <w:spacing w:val="-3"/>
        </w:rPr>
        <w:t> </w:t>
      </w:r>
      <w:r>
        <w:rPr/>
        <w:t>sepanjang</w:t>
      </w:r>
      <w:r>
        <w:rPr>
          <w:spacing w:val="-4"/>
        </w:rPr>
        <w:t> </w:t>
      </w:r>
      <w:r>
        <w:rPr/>
        <w:t>memenuhi</w:t>
      </w:r>
      <w:r>
        <w:rPr>
          <w:spacing w:val="-2"/>
        </w:rPr>
        <w:t> </w:t>
      </w:r>
      <w:r>
        <w:rPr/>
        <w:t>kriteria</w:t>
      </w:r>
      <w:r>
        <w:rPr>
          <w:spacing w:val="-4"/>
        </w:rPr>
        <w:t> </w:t>
      </w:r>
      <w:r>
        <w:rPr/>
        <w:t>yang ditetapkan dalam Undang-Undang.</w:t>
      </w:r>
    </w:p>
    <w:p>
      <w:pPr>
        <w:pStyle w:val="BodyText"/>
        <w:spacing w:before="163"/>
        <w:jc w:val="left"/>
      </w:pPr>
    </w:p>
    <w:p>
      <w:pPr>
        <w:pStyle w:val="BodyText"/>
        <w:spacing w:line="360" w:lineRule="auto"/>
        <w:ind w:left="1843" w:right="699"/>
      </w:pPr>
      <w:r>
        <w:rPr/>
        <w:t>Kriteria</w:t>
      </w:r>
      <w:r>
        <w:rPr>
          <w:spacing w:val="-2"/>
        </w:rPr>
        <w:t> </w:t>
      </w:r>
      <w:r>
        <w:rPr/>
        <w:t>yang</w:t>
      </w:r>
      <w:r>
        <w:rPr>
          <w:spacing w:val="-2"/>
        </w:rPr>
        <w:t> </w:t>
      </w:r>
      <w:r>
        <w:rPr/>
        <w:t>dimaksud</w:t>
      </w:r>
      <w:r>
        <w:rPr>
          <w:spacing w:val="-2"/>
        </w:rPr>
        <w:t> </w:t>
      </w:r>
      <w:r>
        <w:rPr/>
        <w:t>adalah</w:t>
      </w:r>
      <w:r>
        <w:rPr>
          <w:spacing w:val="-1"/>
        </w:rPr>
        <w:t> </w:t>
      </w:r>
      <w:r>
        <w:rPr/>
        <w:t>sebagai</w:t>
      </w:r>
      <w:r>
        <w:rPr>
          <w:spacing w:val="-5"/>
        </w:rPr>
        <w:t> </w:t>
      </w:r>
      <w:r>
        <w:rPr/>
        <w:t>berikut:</w:t>
      </w:r>
      <w:r>
        <w:rPr>
          <w:spacing w:val="-4"/>
        </w:rPr>
        <w:t> </w:t>
      </w:r>
      <w:r>
        <w:rPr/>
        <w:t>a.</w:t>
      </w:r>
      <w:r>
        <w:rPr>
          <w:spacing w:val="-4"/>
        </w:rPr>
        <w:t> </w:t>
      </w:r>
      <w:r>
        <w:rPr/>
        <w:t>Bersifat pajak dan bukan retribusi. b. Objek pajak terletak atau terdapat di wilayah Daerah Kabupaten/Kota yang bersangkutan dan mempunyai</w:t>
      </w:r>
      <w:r>
        <w:rPr>
          <w:spacing w:val="-5"/>
        </w:rPr>
        <w:t> </w:t>
      </w:r>
      <w:r>
        <w:rPr/>
        <w:t>mobilitas</w:t>
      </w:r>
      <w:r>
        <w:rPr>
          <w:spacing w:val="-5"/>
        </w:rPr>
        <w:t> </w:t>
      </w:r>
      <w:r>
        <w:rPr/>
        <w:t>yang</w:t>
      </w:r>
      <w:r>
        <w:rPr>
          <w:spacing w:val="-6"/>
        </w:rPr>
        <w:t> </w:t>
      </w:r>
      <w:r>
        <w:rPr/>
        <w:t>cukup</w:t>
      </w:r>
      <w:r>
        <w:rPr>
          <w:spacing w:val="-6"/>
        </w:rPr>
        <w:t> </w:t>
      </w:r>
      <w:r>
        <w:rPr/>
        <w:t>rendah</w:t>
      </w:r>
      <w:r>
        <w:rPr>
          <w:spacing w:val="-6"/>
        </w:rPr>
        <w:t> </w:t>
      </w:r>
      <w:r>
        <w:rPr/>
        <w:t>serta</w:t>
      </w:r>
      <w:r>
        <w:rPr>
          <w:spacing w:val="-6"/>
        </w:rPr>
        <w:t> </w:t>
      </w:r>
      <w:r>
        <w:rPr/>
        <w:t>hanya</w:t>
      </w:r>
      <w:r>
        <w:rPr>
          <w:spacing w:val="-6"/>
        </w:rPr>
        <w:t> </w:t>
      </w:r>
      <w:r>
        <w:rPr/>
        <w:t>melayani masyarakat di wilayah Daerah Kabupaten/Kota yang bersangkutan. c. Objek dan dasar pengenaan pajak tidak bertentangan dengan kepentingan umum. d. Objek pajak bukan merupakan objek pajak Propinsi dan/atau objek pajak Pusat. e. Potensinya memadai. f. Tidak memberikan dampak ekonomi yang negatif; g. Memperhatikan aspek keadilan dan kemampuan masyarakat. h. Menjaga kelestarian lingkungan.</w:t>
      </w:r>
    </w:p>
    <w:p>
      <w:pPr>
        <w:pStyle w:val="BodyText"/>
        <w:spacing w:before="156"/>
        <w:jc w:val="left"/>
      </w:pPr>
    </w:p>
    <w:p>
      <w:pPr>
        <w:pStyle w:val="Heading2"/>
        <w:numPr>
          <w:ilvl w:val="0"/>
          <w:numId w:val="11"/>
        </w:numPr>
        <w:tabs>
          <w:tab w:pos="1780" w:val="left" w:leader="none"/>
        </w:tabs>
        <w:spacing w:line="240" w:lineRule="auto" w:before="0" w:after="0"/>
        <w:ind w:left="1780" w:right="0" w:hanging="359"/>
        <w:jc w:val="left"/>
      </w:pPr>
      <w:r>
        <w:rPr/>
        <w:t>Pendapatan</w:t>
      </w:r>
      <w:r>
        <w:rPr>
          <w:spacing w:val="-11"/>
        </w:rPr>
        <w:t> </w:t>
      </w:r>
      <w:r>
        <w:rPr/>
        <w:t>Retribusi</w:t>
      </w:r>
      <w:r>
        <w:rPr>
          <w:spacing w:val="-10"/>
        </w:rPr>
        <w:t> </w:t>
      </w:r>
      <w:r>
        <w:rPr>
          <w:spacing w:val="-2"/>
        </w:rPr>
        <w:t>Daerah</w:t>
      </w:r>
    </w:p>
    <w:p>
      <w:pPr>
        <w:pStyle w:val="BodyText"/>
        <w:spacing w:line="364" w:lineRule="auto" w:before="161"/>
        <w:ind w:left="1714" w:right="711"/>
      </w:pPr>
      <w:r>
        <w:rPr/>
        <w:t>Retribusi Daerah adalah pungutan daerah sebagai pembayaran atas</w:t>
      </w:r>
      <w:r>
        <w:rPr>
          <w:spacing w:val="24"/>
        </w:rPr>
        <w:t> </w:t>
      </w:r>
      <w:r>
        <w:rPr/>
        <w:t>jasa</w:t>
      </w:r>
      <w:r>
        <w:rPr>
          <w:spacing w:val="26"/>
        </w:rPr>
        <w:t> </w:t>
      </w:r>
      <w:r>
        <w:rPr/>
        <w:t>atau</w:t>
      </w:r>
      <w:r>
        <w:rPr>
          <w:spacing w:val="26"/>
        </w:rPr>
        <w:t> </w:t>
      </w:r>
      <w:r>
        <w:rPr/>
        <w:t>pemberian</w:t>
      </w:r>
      <w:r>
        <w:rPr>
          <w:spacing w:val="27"/>
        </w:rPr>
        <w:t> </w:t>
      </w:r>
      <w:r>
        <w:rPr/>
        <w:t>izin</w:t>
      </w:r>
      <w:r>
        <w:rPr>
          <w:spacing w:val="26"/>
        </w:rPr>
        <w:t> </w:t>
      </w:r>
      <w:r>
        <w:rPr/>
        <w:t>tertentu</w:t>
      </w:r>
      <w:r>
        <w:rPr>
          <w:spacing w:val="26"/>
        </w:rPr>
        <w:t> </w:t>
      </w:r>
      <w:r>
        <w:rPr/>
        <w:t>yang</w:t>
      </w:r>
      <w:r>
        <w:rPr>
          <w:spacing w:val="31"/>
        </w:rPr>
        <w:t> </w:t>
      </w:r>
      <w:r>
        <w:rPr/>
        <w:t>khusus</w:t>
      </w:r>
      <w:r>
        <w:rPr>
          <w:spacing w:val="31"/>
        </w:rPr>
        <w:t> </w:t>
      </w:r>
      <w:r>
        <w:rPr>
          <w:spacing w:val="-2"/>
        </w:rPr>
        <w:t>disediakan</w:t>
      </w:r>
    </w:p>
    <w:p>
      <w:pPr>
        <w:pStyle w:val="BodyText"/>
        <w:spacing w:after="0" w:line="364" w:lineRule="auto"/>
        <w:sectPr>
          <w:pgSz w:w="11910" w:h="16840"/>
          <w:pgMar w:header="0" w:footer="1186" w:top="1580" w:bottom="1380" w:left="1700" w:right="992"/>
        </w:sectPr>
      </w:pPr>
    </w:p>
    <w:p>
      <w:pPr>
        <w:pStyle w:val="BodyText"/>
        <w:spacing w:line="360" w:lineRule="auto" w:before="82"/>
        <w:ind w:left="1714" w:right="709"/>
      </w:pPr>
      <w:r>
        <w:rPr/>
        <w:t>dan/atau diberikan oleh Pemerintah Daerah untuk kepentingan orang pribadi atau badan.</w:t>
      </w:r>
    </w:p>
    <w:p>
      <w:pPr>
        <w:pStyle w:val="BodyText"/>
        <w:spacing w:before="163"/>
        <w:jc w:val="left"/>
      </w:pPr>
    </w:p>
    <w:p>
      <w:pPr>
        <w:pStyle w:val="BodyText"/>
        <w:spacing w:line="360" w:lineRule="auto" w:before="1"/>
        <w:ind w:left="1714" w:right="700"/>
      </w:pPr>
      <w:r>
        <w:rPr/>
        <w:t>Retribusi</w:t>
      </w:r>
      <w:r>
        <w:rPr>
          <w:spacing w:val="-17"/>
        </w:rPr>
        <w:t> </w:t>
      </w:r>
      <w:r>
        <w:rPr/>
        <w:t>dari</w:t>
      </w:r>
      <w:r>
        <w:rPr>
          <w:spacing w:val="-16"/>
        </w:rPr>
        <w:t> </w:t>
      </w:r>
      <w:r>
        <w:rPr/>
        <w:t>sisi</w:t>
      </w:r>
      <w:r>
        <w:rPr>
          <w:spacing w:val="-17"/>
        </w:rPr>
        <w:t> </w:t>
      </w:r>
      <w:r>
        <w:rPr/>
        <w:t>hukum</w:t>
      </w:r>
      <w:r>
        <w:rPr>
          <w:spacing w:val="-16"/>
        </w:rPr>
        <w:t> </w:t>
      </w:r>
      <w:r>
        <w:rPr/>
        <w:t>dan</w:t>
      </w:r>
      <w:r>
        <w:rPr>
          <w:spacing w:val="-17"/>
        </w:rPr>
        <w:t> </w:t>
      </w:r>
      <w:r>
        <w:rPr/>
        <w:t>kebijakannya</w:t>
      </w:r>
      <w:r>
        <w:rPr>
          <w:spacing w:val="-16"/>
        </w:rPr>
        <w:t> </w:t>
      </w:r>
      <w:r>
        <w:rPr/>
        <w:t>dipungut</w:t>
      </w:r>
      <w:r>
        <w:rPr>
          <w:spacing w:val="-17"/>
        </w:rPr>
        <w:t> </w:t>
      </w:r>
      <w:r>
        <w:rPr/>
        <w:t>berdasarkan Peraturan</w:t>
      </w:r>
      <w:r>
        <w:rPr>
          <w:spacing w:val="-17"/>
        </w:rPr>
        <w:t> </w:t>
      </w:r>
      <w:r>
        <w:rPr/>
        <w:t>Pemerintah,</w:t>
      </w:r>
      <w:r>
        <w:rPr>
          <w:spacing w:val="-16"/>
        </w:rPr>
        <w:t> </w:t>
      </w:r>
      <w:r>
        <w:rPr/>
        <w:t>Peraturan</w:t>
      </w:r>
      <w:r>
        <w:rPr>
          <w:spacing w:val="-17"/>
        </w:rPr>
        <w:t> </w:t>
      </w:r>
      <w:r>
        <w:rPr/>
        <w:t>Menteri,</w:t>
      </w:r>
      <w:r>
        <w:rPr>
          <w:spacing w:val="-16"/>
        </w:rPr>
        <w:t> </w:t>
      </w:r>
      <w:r>
        <w:rPr/>
        <w:t>atau</w:t>
      </w:r>
      <w:r>
        <w:rPr>
          <w:spacing w:val="-17"/>
        </w:rPr>
        <w:t> </w:t>
      </w:r>
      <w:r>
        <w:rPr/>
        <w:t>Peraturan</w:t>
      </w:r>
      <w:r>
        <w:rPr>
          <w:spacing w:val="-16"/>
        </w:rPr>
        <w:t> </w:t>
      </w:r>
      <w:r>
        <w:rPr/>
        <w:t>Daerah. Wajib pajak secara langsung mendapatkan balasan jasa dari pembayaran retribusinya. Ambil contoh retribusi kebersihan (sampah) manfaatnya dapat dirasakan langsung dengan diangkutnya sampah wajib retribusi oleh petugas. Objek dari retribusi sendiri adalah Orang atau Badan yang menggunakan atau</w:t>
      </w:r>
      <w:r>
        <w:rPr>
          <w:spacing w:val="-17"/>
        </w:rPr>
        <w:t> </w:t>
      </w:r>
      <w:r>
        <w:rPr/>
        <w:t>mendapatkan</w:t>
      </w:r>
      <w:r>
        <w:rPr>
          <w:spacing w:val="-16"/>
        </w:rPr>
        <w:t> </w:t>
      </w:r>
      <w:r>
        <w:rPr/>
        <w:t>jasa</w:t>
      </w:r>
      <w:r>
        <w:rPr>
          <w:spacing w:val="-17"/>
        </w:rPr>
        <w:t> </w:t>
      </w:r>
      <w:r>
        <w:rPr/>
        <w:t>atau</w:t>
      </w:r>
      <w:r>
        <w:rPr>
          <w:spacing w:val="-16"/>
        </w:rPr>
        <w:t> </w:t>
      </w:r>
      <w:r>
        <w:rPr/>
        <w:t>izin</w:t>
      </w:r>
      <w:r>
        <w:rPr>
          <w:spacing w:val="-17"/>
        </w:rPr>
        <w:t> </w:t>
      </w:r>
      <w:r>
        <w:rPr/>
        <w:t>yang</w:t>
      </w:r>
      <w:r>
        <w:rPr>
          <w:spacing w:val="-16"/>
        </w:rPr>
        <w:t> </w:t>
      </w:r>
      <w:r>
        <w:rPr/>
        <w:t>diberikan</w:t>
      </w:r>
      <w:r>
        <w:rPr>
          <w:spacing w:val="-17"/>
        </w:rPr>
        <w:t> </w:t>
      </w:r>
      <w:r>
        <w:rPr/>
        <w:t>oleh</w:t>
      </w:r>
      <w:r>
        <w:rPr>
          <w:spacing w:val="-15"/>
        </w:rPr>
        <w:t> </w:t>
      </w:r>
      <w:r>
        <w:rPr/>
        <w:t>pemerintah. Retribusi dapat dipaksakan dengan sifat yang ekonomis hanya kepada orang atau badan yang menggunakan atau mendapatkan jasa atau izin yang diberikan oleh pemerintah.</w:t>
      </w:r>
    </w:p>
    <w:p>
      <w:pPr>
        <w:pStyle w:val="BodyText"/>
        <w:spacing w:before="160"/>
        <w:jc w:val="left"/>
      </w:pPr>
    </w:p>
    <w:p>
      <w:pPr>
        <w:pStyle w:val="BodyText"/>
        <w:spacing w:line="360" w:lineRule="auto"/>
        <w:ind w:left="1714" w:right="699"/>
      </w:pPr>
      <w:r>
        <w:rPr/>
        <w:t>Retribusi dipungut oleh pemerintah daerah Tujuannya untuk memberikan jasa atau ijin kepada masyarakat sehingga mereka dapat melaksanakan kegiatan mereka serta mendapatkan pelayanan dari pemerintah. Pada hakikatnya, fungsi utama pemungutan retribusi adalah hampir mirip dengan pajak, yaitu sebagai</w:t>
      </w:r>
      <w:r>
        <w:rPr>
          <w:spacing w:val="-17"/>
        </w:rPr>
        <w:t> </w:t>
      </w:r>
      <w:r>
        <w:rPr/>
        <w:t>sumber</w:t>
      </w:r>
      <w:r>
        <w:rPr>
          <w:spacing w:val="-16"/>
        </w:rPr>
        <w:t> </w:t>
      </w:r>
      <w:r>
        <w:rPr/>
        <w:t>anggaran</w:t>
      </w:r>
      <w:r>
        <w:rPr>
          <w:spacing w:val="-17"/>
        </w:rPr>
        <w:t> </w:t>
      </w:r>
      <w:r>
        <w:rPr/>
        <w:t>daerah,</w:t>
      </w:r>
      <w:r>
        <w:rPr>
          <w:spacing w:val="-16"/>
        </w:rPr>
        <w:t> </w:t>
      </w:r>
      <w:r>
        <w:rPr/>
        <w:t>stabilitas</w:t>
      </w:r>
      <w:r>
        <w:rPr>
          <w:spacing w:val="-17"/>
        </w:rPr>
        <w:t> </w:t>
      </w:r>
      <w:r>
        <w:rPr/>
        <w:t>ekonomi</w:t>
      </w:r>
      <w:r>
        <w:rPr>
          <w:spacing w:val="-16"/>
        </w:rPr>
        <w:t> </w:t>
      </w:r>
      <w:r>
        <w:rPr/>
        <w:t>daerahserta pemerataan pendapatan masyarakat daerah. Retribusi yang berperan sebagai sumber Pendapatan Asli Daerah (PAD) berfungsi</w:t>
      </w:r>
      <w:r>
        <w:rPr>
          <w:spacing w:val="-7"/>
        </w:rPr>
        <w:t> </w:t>
      </w:r>
      <w:r>
        <w:rPr/>
        <w:t>sebagai</w:t>
      </w:r>
      <w:r>
        <w:rPr>
          <w:spacing w:val="-8"/>
        </w:rPr>
        <w:t> </w:t>
      </w:r>
      <w:r>
        <w:rPr/>
        <w:t>anggaran</w:t>
      </w:r>
      <w:r>
        <w:rPr>
          <w:spacing w:val="-8"/>
        </w:rPr>
        <w:t> </w:t>
      </w:r>
      <w:r>
        <w:rPr/>
        <w:t>guna</w:t>
      </w:r>
      <w:r>
        <w:rPr>
          <w:spacing w:val="-9"/>
        </w:rPr>
        <w:t> </w:t>
      </w:r>
      <w:r>
        <w:rPr/>
        <w:t>membiayai</w:t>
      </w:r>
      <w:r>
        <w:rPr>
          <w:spacing w:val="-8"/>
        </w:rPr>
        <w:t> </w:t>
      </w:r>
      <w:r>
        <w:rPr/>
        <w:t>seluruh</w:t>
      </w:r>
      <w:r>
        <w:rPr>
          <w:spacing w:val="-9"/>
        </w:rPr>
        <w:t> </w:t>
      </w:r>
      <w:r>
        <w:rPr/>
        <w:t>kebutuhan sehari-hari pemerintahan dan juga pembangunan daerah. Saat sumber anggaran di suatu daerah telah tercukupi, maka seluruh kegiatan ekonomi bisa berjalan dengan baik. Fungsi lain dari retribusi adalah sebagai stabilitas ekonomi daerah yaitu</w:t>
      </w:r>
    </w:p>
    <w:p>
      <w:pPr>
        <w:pStyle w:val="BodyText"/>
        <w:spacing w:after="0" w:line="360" w:lineRule="auto"/>
        <w:sectPr>
          <w:pgSz w:w="11910" w:h="16840"/>
          <w:pgMar w:header="0" w:footer="1186" w:top="1580" w:bottom="1380" w:left="1700" w:right="992"/>
        </w:sectPr>
      </w:pPr>
    </w:p>
    <w:p>
      <w:pPr>
        <w:pStyle w:val="BodyText"/>
        <w:spacing w:line="360" w:lineRule="auto" w:before="82"/>
        <w:ind w:left="1714" w:right="705"/>
      </w:pPr>
      <w:r>
        <w:rPr/>
        <w:t>mengendalikan harga pasar dan juga dapat membukakan lapangan kerja baru dalam rangka mengurangi kesenjangan ekonomi masyarakat wilayah setempat.</w:t>
      </w:r>
    </w:p>
    <w:p>
      <w:pPr>
        <w:pStyle w:val="BodyText"/>
        <w:spacing w:before="165"/>
        <w:jc w:val="left"/>
      </w:pPr>
    </w:p>
    <w:p>
      <w:pPr>
        <w:pStyle w:val="BodyText"/>
        <w:spacing w:line="360" w:lineRule="auto"/>
        <w:ind w:left="1714" w:right="704"/>
      </w:pPr>
      <w:r>
        <w:rPr/>
        <w:t>Pendapatan daerah yang bersumber dari retribusi daerah berdasarkan Ketentuan Umum angka 22 UU Nomor 1 Tahun </w:t>
      </w:r>
      <w:r>
        <w:rPr>
          <w:spacing w:val="-2"/>
        </w:rPr>
        <w:t>2022</w:t>
      </w:r>
      <w:r>
        <w:rPr>
          <w:spacing w:val="-7"/>
        </w:rPr>
        <w:t> </w:t>
      </w:r>
      <w:r>
        <w:rPr>
          <w:spacing w:val="-2"/>
        </w:rPr>
        <w:t>adalah</w:t>
      </w:r>
      <w:r>
        <w:rPr>
          <w:spacing w:val="-8"/>
        </w:rPr>
        <w:t> </w:t>
      </w:r>
      <w:r>
        <w:rPr>
          <w:spacing w:val="-2"/>
        </w:rPr>
        <w:t>pungutan</w:t>
      </w:r>
      <w:r>
        <w:rPr>
          <w:spacing w:val="-9"/>
        </w:rPr>
        <w:t> </w:t>
      </w:r>
      <w:r>
        <w:rPr>
          <w:spacing w:val="-2"/>
        </w:rPr>
        <w:t>daerah</w:t>
      </w:r>
      <w:r>
        <w:rPr>
          <w:spacing w:val="-9"/>
        </w:rPr>
        <w:t> </w:t>
      </w:r>
      <w:r>
        <w:rPr>
          <w:spacing w:val="-2"/>
        </w:rPr>
        <w:t>sebagai</w:t>
      </w:r>
      <w:r>
        <w:rPr>
          <w:spacing w:val="-8"/>
        </w:rPr>
        <w:t> </w:t>
      </w:r>
      <w:r>
        <w:rPr>
          <w:spacing w:val="-2"/>
        </w:rPr>
        <w:t>pembayaran</w:t>
      </w:r>
      <w:r>
        <w:rPr>
          <w:spacing w:val="-9"/>
        </w:rPr>
        <w:t> </w:t>
      </w:r>
      <w:r>
        <w:rPr>
          <w:spacing w:val="-2"/>
        </w:rPr>
        <w:t>atas</w:t>
      </w:r>
      <w:r>
        <w:rPr>
          <w:spacing w:val="-8"/>
        </w:rPr>
        <w:t> </w:t>
      </w:r>
      <w:r>
        <w:rPr>
          <w:spacing w:val="-2"/>
        </w:rPr>
        <w:t>jasa</w:t>
      </w:r>
      <w:r>
        <w:rPr>
          <w:spacing w:val="-6"/>
        </w:rPr>
        <w:t> </w:t>
      </w:r>
      <w:r>
        <w:rPr>
          <w:spacing w:val="-2"/>
        </w:rPr>
        <w:t>atau </w:t>
      </w:r>
      <w:r>
        <w:rPr/>
        <w:t>pemberian izin tertentu yang khusus disediakan dan/atau diberikan oleh pemerintah daerah untuk kepentingan orang pribadi atau badan.</w:t>
      </w:r>
    </w:p>
    <w:p>
      <w:pPr>
        <w:pStyle w:val="BodyText"/>
        <w:spacing w:before="159"/>
        <w:jc w:val="left"/>
      </w:pPr>
    </w:p>
    <w:p>
      <w:pPr>
        <w:pStyle w:val="BodyText"/>
        <w:spacing w:line="360" w:lineRule="auto"/>
        <w:ind w:left="1843" w:right="704"/>
      </w:pPr>
      <w:r>
        <w:rPr/>
        <w:t>Objek retribusi daerah berdasarkan UU Nomor 1 Tahun 2022, mencakup:</w:t>
      </w:r>
      <w:r>
        <w:rPr>
          <w:spacing w:val="-11"/>
        </w:rPr>
        <w:t> </w:t>
      </w:r>
      <w:r>
        <w:rPr/>
        <w:t>(1)</w:t>
      </w:r>
      <w:r>
        <w:rPr>
          <w:spacing w:val="42"/>
        </w:rPr>
        <w:t> </w:t>
      </w:r>
      <w:r>
        <w:rPr/>
        <w:t>retribusi</w:t>
      </w:r>
      <w:r>
        <w:rPr>
          <w:spacing w:val="-11"/>
        </w:rPr>
        <w:t> </w:t>
      </w:r>
      <w:r>
        <w:rPr/>
        <w:t>jasa</w:t>
      </w:r>
      <w:r>
        <w:rPr>
          <w:spacing w:val="-14"/>
        </w:rPr>
        <w:t> </w:t>
      </w:r>
      <w:r>
        <w:rPr/>
        <w:t>umum;</w:t>
      </w:r>
      <w:r>
        <w:rPr>
          <w:spacing w:val="-11"/>
        </w:rPr>
        <w:t> </w:t>
      </w:r>
      <w:r>
        <w:rPr/>
        <w:t>(2)</w:t>
      </w:r>
      <w:r>
        <w:rPr>
          <w:spacing w:val="-12"/>
        </w:rPr>
        <w:t> </w:t>
      </w:r>
      <w:r>
        <w:rPr/>
        <w:t>retribusi</w:t>
      </w:r>
      <w:r>
        <w:rPr>
          <w:spacing w:val="44"/>
        </w:rPr>
        <w:t> </w:t>
      </w:r>
      <w:r>
        <w:rPr/>
        <w:t>jasa</w:t>
      </w:r>
      <w:r>
        <w:rPr>
          <w:spacing w:val="-14"/>
        </w:rPr>
        <w:t> </w:t>
      </w:r>
      <w:r>
        <w:rPr/>
        <w:t>usaha;</w:t>
      </w:r>
      <w:r>
        <w:rPr>
          <w:spacing w:val="-9"/>
        </w:rPr>
        <w:t> </w:t>
      </w:r>
      <w:r>
        <w:rPr>
          <w:spacing w:val="-5"/>
        </w:rPr>
        <w:t>dan</w:t>
      </w:r>
    </w:p>
    <w:p>
      <w:pPr>
        <w:pStyle w:val="ListParagraph"/>
        <w:numPr>
          <w:ilvl w:val="1"/>
          <w:numId w:val="11"/>
        </w:numPr>
        <w:tabs>
          <w:tab w:pos="2312" w:val="left" w:leader="none"/>
        </w:tabs>
        <w:spacing w:line="360" w:lineRule="auto" w:before="3" w:after="0"/>
        <w:ind w:left="1843" w:right="708" w:firstLine="0"/>
        <w:jc w:val="both"/>
        <w:rPr>
          <w:sz w:val="24"/>
        </w:rPr>
      </w:pPr>
      <w:r>
        <w:rPr>
          <w:sz w:val="24"/>
        </w:rPr>
        <w:t>retribusi perizinan tertentu. Dengan demikian, upaya peningkatan pendapatan daerah dari sumber retribusi daerah dapat melalui</w:t>
      </w:r>
      <w:r>
        <w:rPr>
          <w:spacing w:val="40"/>
          <w:sz w:val="24"/>
        </w:rPr>
        <w:t> </w:t>
      </w:r>
      <w:r>
        <w:rPr>
          <w:sz w:val="24"/>
        </w:rPr>
        <w:t>tiga tipe retribusi yaitu:</w:t>
      </w:r>
    </w:p>
    <w:p>
      <w:pPr>
        <w:pStyle w:val="BodyText"/>
        <w:spacing w:before="155"/>
        <w:jc w:val="left"/>
      </w:pPr>
    </w:p>
    <w:p>
      <w:pPr>
        <w:pStyle w:val="Heading2"/>
        <w:numPr>
          <w:ilvl w:val="2"/>
          <w:numId w:val="11"/>
        </w:numPr>
        <w:tabs>
          <w:tab w:pos="2128" w:val="left" w:leader="none"/>
        </w:tabs>
        <w:spacing w:line="240" w:lineRule="auto" w:before="0" w:after="0"/>
        <w:ind w:left="2128" w:right="0" w:hanging="357"/>
        <w:jc w:val="both"/>
      </w:pPr>
      <w:r>
        <w:rPr/>
        <w:t>Retribusi</w:t>
      </w:r>
      <w:r>
        <w:rPr>
          <w:spacing w:val="-11"/>
        </w:rPr>
        <w:t> </w:t>
      </w:r>
      <w:r>
        <w:rPr/>
        <w:t>Jasa</w:t>
      </w:r>
      <w:r>
        <w:rPr>
          <w:spacing w:val="-8"/>
        </w:rPr>
        <w:t> </w:t>
      </w:r>
      <w:r>
        <w:rPr>
          <w:spacing w:val="-4"/>
        </w:rPr>
        <w:t>Umum</w:t>
      </w:r>
    </w:p>
    <w:p>
      <w:pPr>
        <w:pStyle w:val="BodyText"/>
        <w:spacing w:line="360" w:lineRule="auto" w:before="161"/>
        <w:ind w:left="2127" w:right="704"/>
      </w:pPr>
      <w:r>
        <w:rPr/>
        <w:t>Pendapatan retribusi jasa umum, yaitu retribusi atas jasa yang disediakan atau diberikan oleh pemerintah daerah untuk tujuan kepentingan dan kemanfaatan umum serta dapat dinikmati oleh orang pribadi atau badan. Objek retribusi jasa umum adalah pelayanan yang disediakan atau diberikan</w:t>
      </w:r>
      <w:r>
        <w:rPr>
          <w:spacing w:val="-8"/>
        </w:rPr>
        <w:t> </w:t>
      </w:r>
      <w:r>
        <w:rPr/>
        <w:t>oleh</w:t>
      </w:r>
      <w:r>
        <w:rPr>
          <w:spacing w:val="-5"/>
        </w:rPr>
        <w:t> </w:t>
      </w:r>
      <w:r>
        <w:rPr/>
        <w:t>pemerintah</w:t>
      </w:r>
      <w:r>
        <w:rPr>
          <w:spacing w:val="-4"/>
        </w:rPr>
        <w:t> </w:t>
      </w:r>
      <w:r>
        <w:rPr/>
        <w:t>daerah</w:t>
      </w:r>
      <w:r>
        <w:rPr>
          <w:spacing w:val="-8"/>
        </w:rPr>
        <w:t> </w:t>
      </w:r>
      <w:r>
        <w:rPr/>
        <w:t>untuk</w:t>
      </w:r>
      <w:r>
        <w:rPr>
          <w:spacing w:val="-7"/>
        </w:rPr>
        <w:t> </w:t>
      </w:r>
      <w:r>
        <w:rPr/>
        <w:t>tujuan</w:t>
      </w:r>
      <w:r>
        <w:rPr>
          <w:spacing w:val="-8"/>
        </w:rPr>
        <w:t> </w:t>
      </w:r>
      <w:r>
        <w:rPr/>
        <w:t>kepentingan dan kemanfaatan umum serta dapat dinikmati oleh orang pribadi atau badan.</w:t>
      </w:r>
    </w:p>
    <w:p>
      <w:pPr>
        <w:pStyle w:val="BodyText"/>
        <w:spacing w:after="0" w:line="360" w:lineRule="auto"/>
        <w:sectPr>
          <w:pgSz w:w="11910" w:h="16840"/>
          <w:pgMar w:header="0" w:footer="1186" w:top="1580" w:bottom="1380" w:left="1700" w:right="992"/>
        </w:sectPr>
      </w:pPr>
    </w:p>
    <w:p>
      <w:pPr>
        <w:pStyle w:val="Heading2"/>
        <w:numPr>
          <w:ilvl w:val="2"/>
          <w:numId w:val="11"/>
        </w:numPr>
        <w:tabs>
          <w:tab w:pos="2128" w:val="left" w:leader="none"/>
        </w:tabs>
        <w:spacing w:line="240" w:lineRule="auto" w:before="82" w:after="0"/>
        <w:ind w:left="2128" w:right="0" w:hanging="357"/>
        <w:jc w:val="both"/>
      </w:pPr>
      <w:r>
        <w:rPr/>
        <w:t>Retribusi</w:t>
      </w:r>
      <w:r>
        <w:rPr>
          <w:spacing w:val="-9"/>
        </w:rPr>
        <w:t> </w:t>
      </w:r>
      <w:r>
        <w:rPr/>
        <w:t>Jasa</w:t>
      </w:r>
      <w:r>
        <w:rPr>
          <w:spacing w:val="-8"/>
        </w:rPr>
        <w:t> </w:t>
      </w:r>
      <w:r>
        <w:rPr>
          <w:spacing w:val="-2"/>
        </w:rPr>
        <w:t>Usaha</w:t>
      </w:r>
    </w:p>
    <w:p>
      <w:pPr>
        <w:pStyle w:val="BodyText"/>
        <w:spacing w:line="360" w:lineRule="auto" w:before="161"/>
        <w:ind w:left="2127" w:right="699"/>
      </w:pPr>
      <w:r>
        <w:rPr/>
        <w:t>Pendapatan</w:t>
      </w:r>
      <w:r>
        <w:rPr>
          <w:spacing w:val="-14"/>
        </w:rPr>
        <w:t> </w:t>
      </w:r>
      <w:r>
        <w:rPr/>
        <w:t>retribusi</w:t>
      </w:r>
      <w:r>
        <w:rPr>
          <w:spacing w:val="-14"/>
        </w:rPr>
        <w:t> </w:t>
      </w:r>
      <w:r>
        <w:rPr/>
        <w:t>jasa</w:t>
      </w:r>
      <w:r>
        <w:rPr>
          <w:spacing w:val="-16"/>
        </w:rPr>
        <w:t> </w:t>
      </w:r>
      <w:r>
        <w:rPr/>
        <w:t>usaha,</w:t>
      </w:r>
      <w:r>
        <w:rPr>
          <w:spacing w:val="-12"/>
        </w:rPr>
        <w:t> </w:t>
      </w:r>
      <w:r>
        <w:rPr/>
        <w:t>yaitu</w:t>
      </w:r>
      <w:r>
        <w:rPr>
          <w:spacing w:val="-15"/>
        </w:rPr>
        <w:t> </w:t>
      </w:r>
      <w:r>
        <w:rPr/>
        <w:t>retribusi</w:t>
      </w:r>
      <w:r>
        <w:rPr>
          <w:spacing w:val="-9"/>
        </w:rPr>
        <w:t> </w:t>
      </w:r>
      <w:r>
        <w:rPr/>
        <w:t>atas</w:t>
      </w:r>
      <w:r>
        <w:rPr>
          <w:spacing w:val="-15"/>
        </w:rPr>
        <w:t> </w:t>
      </w:r>
      <w:r>
        <w:rPr/>
        <w:t>jasa</w:t>
      </w:r>
      <w:r>
        <w:rPr>
          <w:spacing w:val="-15"/>
        </w:rPr>
        <w:t> </w:t>
      </w:r>
      <w:r>
        <w:rPr/>
        <w:t>yang disediakan oleh pemerintah daerah dengan menganut prinsip komersial karena pada dasarnya dapat pula disediakan oleh sektor swasta. Objek retribusi jasa usaha adalah pelayanan yang disediakan oleh pemerintah daerah dengan menganut prinsip komerisial meliputi: a. Pelayanan dengan menggunakan/mamanfaatkan kekayaan daerah yang belum dimanfaatkan secara optimal; dan b. Pelayanan oleh pemerintah daerah sepanjang belum memadai disediakan oleh pihak swasta.</w:t>
      </w:r>
    </w:p>
    <w:p>
      <w:pPr>
        <w:pStyle w:val="BodyText"/>
        <w:spacing w:before="159"/>
        <w:jc w:val="left"/>
      </w:pPr>
    </w:p>
    <w:p>
      <w:pPr>
        <w:pStyle w:val="Heading2"/>
        <w:numPr>
          <w:ilvl w:val="2"/>
          <w:numId w:val="11"/>
        </w:numPr>
        <w:tabs>
          <w:tab w:pos="2128" w:val="left" w:leader="none"/>
        </w:tabs>
        <w:spacing w:line="240" w:lineRule="auto" w:before="0" w:after="0"/>
        <w:ind w:left="2128" w:right="0" w:hanging="357"/>
        <w:jc w:val="both"/>
      </w:pPr>
      <w:r>
        <w:rPr/>
        <w:t>Retribusi</w:t>
      </w:r>
      <w:r>
        <w:rPr>
          <w:spacing w:val="-10"/>
        </w:rPr>
        <w:t> </w:t>
      </w:r>
      <w:r>
        <w:rPr/>
        <w:t>Perizinan</w:t>
      </w:r>
      <w:r>
        <w:rPr>
          <w:spacing w:val="-5"/>
        </w:rPr>
        <w:t> </w:t>
      </w:r>
      <w:r>
        <w:rPr>
          <w:spacing w:val="-2"/>
        </w:rPr>
        <w:t>Tertentu</w:t>
      </w:r>
    </w:p>
    <w:p>
      <w:pPr>
        <w:pStyle w:val="BodyText"/>
        <w:spacing w:line="360" w:lineRule="auto" w:before="162"/>
        <w:ind w:left="2127" w:right="699"/>
      </w:pPr>
      <w:r>
        <w:rPr/>
        <w:t>Pendapatan retribusi perizinan tertentu, yaitu retribusi atas kegiatan tertentu pemerintah daerah dalam rangka pemberian izin kepada orang pribadi atau badan yang dimaksudkan untuk pembinaan, pengaturan, pengendalian dan pengawasan atas kegiatan pemanfaatan ruang, penggunaan sumber daya alam, barang, prasarana, sarana, atau fasilitas tertentu guna melindungi kepentingan umum dan menjaga kelestarian lingkungan.</w:t>
      </w:r>
    </w:p>
    <w:p>
      <w:pPr>
        <w:pStyle w:val="BodyText"/>
        <w:spacing w:before="161"/>
        <w:jc w:val="left"/>
      </w:pPr>
    </w:p>
    <w:p>
      <w:pPr>
        <w:pStyle w:val="BodyText"/>
        <w:spacing w:line="360" w:lineRule="auto"/>
        <w:ind w:left="2127" w:right="704"/>
      </w:pPr>
      <w:r>
        <w:rPr/>
        <w:t>Objek retribusi perizinan tertentu adalah kegiatan tertentu pemerintah daerah dalam rangka pemberian izin kepada orang pribadi atau badan yang dimaksudkan untuk pembinaan, pengaturan, pengendalian dan pengawasan, atas</w:t>
      </w:r>
      <w:r>
        <w:rPr>
          <w:spacing w:val="-13"/>
        </w:rPr>
        <w:t> </w:t>
      </w:r>
      <w:r>
        <w:rPr/>
        <w:t>kegiatan</w:t>
      </w:r>
      <w:r>
        <w:rPr>
          <w:spacing w:val="-13"/>
        </w:rPr>
        <w:t> </w:t>
      </w:r>
      <w:r>
        <w:rPr/>
        <w:t>pemanfaatan</w:t>
      </w:r>
      <w:r>
        <w:rPr>
          <w:spacing w:val="-16"/>
        </w:rPr>
        <w:t> </w:t>
      </w:r>
      <w:r>
        <w:rPr/>
        <w:t>ruang,</w:t>
      </w:r>
      <w:r>
        <w:rPr>
          <w:spacing w:val="-10"/>
        </w:rPr>
        <w:t> </w:t>
      </w:r>
      <w:r>
        <w:rPr/>
        <w:t>penggunaan</w:t>
      </w:r>
      <w:r>
        <w:rPr>
          <w:spacing w:val="-12"/>
        </w:rPr>
        <w:t> </w:t>
      </w:r>
      <w:r>
        <w:rPr/>
        <w:t>sumber</w:t>
      </w:r>
      <w:r>
        <w:rPr>
          <w:spacing w:val="-13"/>
        </w:rPr>
        <w:t> </w:t>
      </w:r>
      <w:r>
        <w:rPr/>
        <w:t>daya alam, barang, prasarana, sarana, atau fasilitas tertentu guna</w:t>
      </w:r>
    </w:p>
    <w:p>
      <w:pPr>
        <w:pStyle w:val="BodyText"/>
        <w:spacing w:after="0" w:line="360" w:lineRule="auto"/>
        <w:sectPr>
          <w:pgSz w:w="11910" w:h="16840"/>
          <w:pgMar w:header="0" w:footer="1186" w:top="1580" w:bottom="1380" w:left="1700" w:right="992"/>
        </w:sectPr>
      </w:pPr>
    </w:p>
    <w:p>
      <w:pPr>
        <w:pStyle w:val="BodyText"/>
        <w:spacing w:line="360" w:lineRule="auto" w:before="82"/>
        <w:ind w:left="2127"/>
        <w:jc w:val="left"/>
      </w:pPr>
      <w:r>
        <w:rPr/>
        <w:t>melindungi kepentingan umum dan menjaga kelestarian </w:t>
      </w:r>
      <w:r>
        <w:rPr>
          <w:spacing w:val="-2"/>
        </w:rPr>
        <w:t>lingkungan.</w:t>
      </w:r>
    </w:p>
    <w:p>
      <w:pPr>
        <w:pStyle w:val="BodyText"/>
        <w:spacing w:before="163"/>
        <w:jc w:val="left"/>
      </w:pPr>
    </w:p>
    <w:p>
      <w:pPr>
        <w:pStyle w:val="BodyText"/>
        <w:spacing w:line="360" w:lineRule="auto" w:before="1"/>
        <w:ind w:left="1714" w:right="700"/>
      </w:pPr>
      <w:r>
        <w:rPr/>
        <w:t>Jenis-jenis Retribusi Jasa Umum, Retribusi Jasa Usaha, dan Retribusi Perizinan</w:t>
      </w:r>
      <w:r>
        <w:rPr>
          <w:spacing w:val="-6"/>
        </w:rPr>
        <w:t> </w:t>
      </w:r>
      <w:r>
        <w:rPr/>
        <w:t>Tertentu</w:t>
      </w:r>
      <w:r>
        <w:rPr>
          <w:spacing w:val="-1"/>
        </w:rPr>
        <w:t> </w:t>
      </w:r>
      <w:r>
        <w:rPr/>
        <w:t>dapat dilihat</w:t>
      </w:r>
      <w:r>
        <w:rPr>
          <w:spacing w:val="-4"/>
        </w:rPr>
        <w:t> </w:t>
      </w:r>
      <w:r>
        <w:rPr/>
        <w:t>pada</w:t>
      </w:r>
      <w:r>
        <w:rPr>
          <w:spacing w:val="-6"/>
        </w:rPr>
        <w:t> </w:t>
      </w:r>
      <w:r>
        <w:rPr/>
        <w:t>Tabel</w:t>
      </w:r>
      <w:r>
        <w:rPr>
          <w:spacing w:val="-5"/>
        </w:rPr>
        <w:t> </w:t>
      </w:r>
      <w:r>
        <w:rPr/>
        <w:t>1.</w:t>
      </w:r>
      <w:r>
        <w:rPr>
          <w:spacing w:val="-4"/>
        </w:rPr>
        <w:t> </w:t>
      </w:r>
      <w:r>
        <w:rPr/>
        <w:t>Retribusi daerah memiliki kriteria nya sendiri hal ini tergantung dari golongan retribusi tersebut. Kriteria retribusi daerah berdasar golongannya adalah sebagai berikut:</w:t>
      </w:r>
    </w:p>
    <w:p>
      <w:pPr>
        <w:pStyle w:val="ListParagraph"/>
        <w:numPr>
          <w:ilvl w:val="0"/>
          <w:numId w:val="13"/>
        </w:numPr>
        <w:tabs>
          <w:tab w:pos="2005" w:val="left" w:leader="none"/>
        </w:tabs>
        <w:spacing w:line="316" w:lineRule="exact" w:before="0" w:after="0"/>
        <w:ind w:left="2005" w:right="0" w:hanging="301"/>
        <w:jc w:val="both"/>
        <w:rPr>
          <w:sz w:val="24"/>
        </w:rPr>
      </w:pPr>
      <w:r>
        <w:rPr>
          <w:sz w:val="24"/>
        </w:rPr>
        <w:t>Retribusi</w:t>
      </w:r>
      <w:r>
        <w:rPr>
          <w:spacing w:val="-9"/>
          <w:sz w:val="24"/>
        </w:rPr>
        <w:t> </w:t>
      </w:r>
      <w:r>
        <w:rPr>
          <w:sz w:val="24"/>
        </w:rPr>
        <w:t>Jasa</w:t>
      </w:r>
      <w:r>
        <w:rPr>
          <w:spacing w:val="-5"/>
          <w:sz w:val="24"/>
        </w:rPr>
        <w:t> </w:t>
      </w:r>
      <w:r>
        <w:rPr>
          <w:spacing w:val="-4"/>
          <w:sz w:val="24"/>
        </w:rPr>
        <w:t>Umum,</w:t>
      </w:r>
    </w:p>
    <w:p>
      <w:pPr>
        <w:pStyle w:val="ListParagraph"/>
        <w:numPr>
          <w:ilvl w:val="1"/>
          <w:numId w:val="13"/>
        </w:numPr>
        <w:tabs>
          <w:tab w:pos="2268" w:val="left" w:leader="none"/>
          <w:tab w:pos="2271" w:val="left" w:leader="none"/>
        </w:tabs>
        <w:spacing w:line="360" w:lineRule="auto" w:before="161" w:after="0"/>
        <w:ind w:left="2271" w:right="705" w:hanging="284"/>
        <w:jc w:val="both"/>
        <w:rPr>
          <w:sz w:val="24"/>
        </w:rPr>
      </w:pPr>
      <w:r>
        <w:rPr>
          <w:sz w:val="24"/>
        </w:rPr>
        <w:t>Retribusi Jasa Umum bersifat bukan pajak dan bersifat bukan Retribusi Jasa Usaha atau Retribusi Perizinan </w:t>
      </w:r>
      <w:r>
        <w:rPr>
          <w:spacing w:val="-2"/>
          <w:sz w:val="24"/>
        </w:rPr>
        <w:t>Tertentu;</w:t>
      </w:r>
    </w:p>
    <w:p>
      <w:pPr>
        <w:pStyle w:val="ListParagraph"/>
        <w:numPr>
          <w:ilvl w:val="1"/>
          <w:numId w:val="13"/>
        </w:numPr>
        <w:tabs>
          <w:tab w:pos="2269" w:val="left" w:leader="none"/>
          <w:tab w:pos="2271" w:val="left" w:leader="none"/>
        </w:tabs>
        <w:spacing w:line="360" w:lineRule="auto" w:before="4" w:after="0"/>
        <w:ind w:left="2271" w:right="709" w:hanging="284"/>
        <w:jc w:val="both"/>
        <w:rPr>
          <w:sz w:val="24"/>
        </w:rPr>
      </w:pPr>
      <w:r>
        <w:rPr>
          <w:sz w:val="24"/>
        </w:rPr>
        <w:t>Jasa yang bersangkutan merupakan kewenangan Daerah dalam rangka pelaksanaan desentralisasi;</w:t>
      </w:r>
    </w:p>
    <w:p>
      <w:pPr>
        <w:pStyle w:val="ListParagraph"/>
        <w:numPr>
          <w:ilvl w:val="1"/>
          <w:numId w:val="13"/>
        </w:numPr>
        <w:tabs>
          <w:tab w:pos="2269" w:val="left" w:leader="none"/>
          <w:tab w:pos="2271" w:val="left" w:leader="none"/>
        </w:tabs>
        <w:spacing w:line="360" w:lineRule="auto" w:before="0" w:after="0"/>
        <w:ind w:left="2271" w:right="706" w:hanging="284"/>
        <w:jc w:val="both"/>
        <w:rPr>
          <w:sz w:val="24"/>
        </w:rPr>
      </w:pPr>
      <w:r>
        <w:rPr>
          <w:sz w:val="24"/>
        </w:rPr>
        <w:t>Jasa tersebut memberi manfaat khusus bagi orang pribadi atau badan yang diharuskan membayar Retribusi, disamping untuk melayani kepentingan dan kemanfaatan </w:t>
      </w:r>
      <w:r>
        <w:rPr>
          <w:spacing w:val="-2"/>
          <w:sz w:val="24"/>
        </w:rPr>
        <w:t>umum;</w:t>
      </w:r>
    </w:p>
    <w:p>
      <w:pPr>
        <w:pStyle w:val="ListParagraph"/>
        <w:numPr>
          <w:ilvl w:val="1"/>
          <w:numId w:val="13"/>
        </w:numPr>
        <w:tabs>
          <w:tab w:pos="2269" w:val="left" w:leader="none"/>
        </w:tabs>
        <w:spacing w:line="240" w:lineRule="auto" w:before="0" w:after="0"/>
        <w:ind w:left="2269" w:right="0" w:hanging="282"/>
        <w:jc w:val="both"/>
        <w:rPr>
          <w:sz w:val="24"/>
        </w:rPr>
      </w:pPr>
      <w:r>
        <w:rPr>
          <w:sz w:val="24"/>
        </w:rPr>
        <w:t>Jasa</w:t>
      </w:r>
      <w:r>
        <w:rPr>
          <w:spacing w:val="-10"/>
          <w:sz w:val="24"/>
        </w:rPr>
        <w:t> </w:t>
      </w:r>
      <w:r>
        <w:rPr>
          <w:sz w:val="24"/>
        </w:rPr>
        <w:t>tersebut</w:t>
      </w:r>
      <w:r>
        <w:rPr>
          <w:spacing w:val="-4"/>
          <w:sz w:val="24"/>
        </w:rPr>
        <w:t> </w:t>
      </w:r>
      <w:r>
        <w:rPr>
          <w:sz w:val="24"/>
        </w:rPr>
        <w:t>layak</w:t>
      </w:r>
      <w:r>
        <w:rPr>
          <w:spacing w:val="-8"/>
          <w:sz w:val="24"/>
        </w:rPr>
        <w:t> </w:t>
      </w:r>
      <w:r>
        <w:rPr>
          <w:sz w:val="24"/>
        </w:rPr>
        <w:t>untuk</w:t>
      </w:r>
      <w:r>
        <w:rPr>
          <w:spacing w:val="-3"/>
          <w:sz w:val="24"/>
        </w:rPr>
        <w:t> </w:t>
      </w:r>
      <w:r>
        <w:rPr>
          <w:sz w:val="24"/>
        </w:rPr>
        <w:t>dikenakan</w:t>
      </w:r>
      <w:r>
        <w:rPr>
          <w:spacing w:val="-4"/>
          <w:sz w:val="24"/>
        </w:rPr>
        <w:t> </w:t>
      </w:r>
      <w:r>
        <w:rPr>
          <w:spacing w:val="-2"/>
          <w:sz w:val="24"/>
        </w:rPr>
        <w:t>Retribusi;</w:t>
      </w:r>
    </w:p>
    <w:p>
      <w:pPr>
        <w:pStyle w:val="ListParagraph"/>
        <w:numPr>
          <w:ilvl w:val="1"/>
          <w:numId w:val="13"/>
        </w:numPr>
        <w:tabs>
          <w:tab w:pos="2269" w:val="left" w:leader="none"/>
          <w:tab w:pos="2271" w:val="left" w:leader="none"/>
        </w:tabs>
        <w:spacing w:line="362" w:lineRule="auto" w:before="159" w:after="0"/>
        <w:ind w:left="2271" w:right="701" w:hanging="284"/>
        <w:jc w:val="both"/>
        <w:rPr>
          <w:sz w:val="24"/>
        </w:rPr>
      </w:pPr>
      <w:r>
        <w:rPr>
          <w:sz w:val="24"/>
        </w:rPr>
        <w:t>Retribusi tidak bertentangan dengan kebijakan nasional mengenai penyelenggaraannya;</w:t>
      </w:r>
    </w:p>
    <w:p>
      <w:pPr>
        <w:pStyle w:val="ListParagraph"/>
        <w:numPr>
          <w:ilvl w:val="1"/>
          <w:numId w:val="13"/>
        </w:numPr>
        <w:tabs>
          <w:tab w:pos="2268" w:val="left" w:leader="none"/>
          <w:tab w:pos="2271" w:val="left" w:leader="none"/>
        </w:tabs>
        <w:spacing w:line="360" w:lineRule="auto" w:before="0" w:after="0"/>
        <w:ind w:left="2271" w:right="709" w:hanging="284"/>
        <w:jc w:val="both"/>
        <w:rPr>
          <w:sz w:val="24"/>
        </w:rPr>
      </w:pPr>
      <w:r>
        <w:rPr>
          <w:sz w:val="24"/>
        </w:rPr>
        <w:t>Retribusi dapat dipungut secara efektif dan efisien, serta merupakan salah satu sumber pendapatan Daerah yang potensial; dan</w:t>
      </w:r>
    </w:p>
    <w:p>
      <w:pPr>
        <w:pStyle w:val="ListParagraph"/>
        <w:numPr>
          <w:ilvl w:val="1"/>
          <w:numId w:val="13"/>
        </w:numPr>
        <w:tabs>
          <w:tab w:pos="2269" w:val="left" w:leader="none"/>
          <w:tab w:pos="2271" w:val="left" w:leader="none"/>
        </w:tabs>
        <w:spacing w:line="360" w:lineRule="auto" w:before="0" w:after="0"/>
        <w:ind w:left="2271" w:right="699" w:hanging="284"/>
        <w:jc w:val="both"/>
        <w:rPr>
          <w:sz w:val="24"/>
        </w:rPr>
      </w:pPr>
      <w:r>
        <w:rPr>
          <w:sz w:val="24"/>
        </w:rPr>
        <w:t>Pemungutan Retribusi memungkinkan penyediaan jasa tersebut dengan tingkat dan/atau kualitas pelayanan yang lebih baik.</w:t>
      </w:r>
    </w:p>
    <w:p>
      <w:pPr>
        <w:pStyle w:val="ListParagraph"/>
        <w:spacing w:after="0" w:line="360" w:lineRule="auto"/>
        <w:jc w:val="both"/>
        <w:rPr>
          <w:sz w:val="24"/>
        </w:rPr>
        <w:sectPr>
          <w:pgSz w:w="11910" w:h="16840"/>
          <w:pgMar w:header="0" w:footer="1186" w:top="1580" w:bottom="1380" w:left="1700" w:right="992"/>
        </w:sectPr>
      </w:pPr>
    </w:p>
    <w:p>
      <w:pPr>
        <w:spacing w:before="55"/>
        <w:ind w:left="1490" w:right="1628" w:firstLine="0"/>
        <w:jc w:val="center"/>
        <w:rPr>
          <w:rFonts w:ascii="Lucida Sans Unicode"/>
          <w:sz w:val="22"/>
        </w:rPr>
      </w:pPr>
      <w:bookmarkStart w:name="_bookmark14" w:id="15"/>
      <w:bookmarkEnd w:id="15"/>
      <w:r>
        <w:rPr/>
      </w:r>
      <w:r>
        <w:rPr>
          <w:rFonts w:ascii="Tahoma"/>
          <w:b/>
          <w:color w:val="242424"/>
          <w:sz w:val="22"/>
        </w:rPr>
        <w:t>Tabel</w:t>
      </w:r>
      <w:r>
        <w:rPr>
          <w:rFonts w:ascii="Tahoma"/>
          <w:b/>
          <w:color w:val="242424"/>
          <w:spacing w:val="-16"/>
          <w:sz w:val="22"/>
        </w:rPr>
        <w:t> </w:t>
      </w:r>
      <w:r>
        <w:rPr>
          <w:rFonts w:ascii="Tahoma"/>
          <w:b/>
          <w:color w:val="242424"/>
          <w:sz w:val="22"/>
        </w:rPr>
        <w:t>1.</w:t>
      </w:r>
      <w:r>
        <w:rPr>
          <w:rFonts w:ascii="Tahoma"/>
          <w:b/>
          <w:color w:val="242424"/>
          <w:spacing w:val="-10"/>
          <w:sz w:val="22"/>
        </w:rPr>
        <w:t> </w:t>
      </w:r>
      <w:r>
        <w:rPr>
          <w:rFonts w:ascii="Lucida Sans Unicode"/>
          <w:color w:val="242424"/>
          <w:sz w:val="22"/>
        </w:rPr>
        <w:t>Jenis-jenis</w:t>
      </w:r>
      <w:r>
        <w:rPr>
          <w:rFonts w:ascii="Lucida Sans Unicode"/>
          <w:color w:val="242424"/>
          <w:spacing w:val="-14"/>
          <w:sz w:val="22"/>
        </w:rPr>
        <w:t> </w:t>
      </w:r>
      <w:r>
        <w:rPr>
          <w:rFonts w:ascii="Lucida Sans Unicode"/>
          <w:color w:val="242424"/>
          <w:spacing w:val="-2"/>
          <w:sz w:val="22"/>
        </w:rPr>
        <w:t>Retribusi</w:t>
      </w:r>
    </w:p>
    <w:p>
      <w:pPr>
        <w:pStyle w:val="BodyText"/>
        <w:spacing w:before="8"/>
        <w:jc w:val="left"/>
        <w:rPr>
          <w:rFonts w:ascii="Lucida Sans Unicode"/>
          <w:sz w:val="11"/>
        </w:rPr>
      </w:pPr>
    </w:p>
    <w:tbl>
      <w:tblPr>
        <w:tblW w:w="0" w:type="auto"/>
        <w:jc w:val="left"/>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3"/>
        <w:gridCol w:w="2737"/>
        <w:gridCol w:w="1930"/>
      </w:tblGrid>
      <w:tr>
        <w:trPr>
          <w:trHeight w:val="898" w:hRule="atLeast"/>
        </w:trPr>
        <w:tc>
          <w:tcPr>
            <w:tcW w:w="3183" w:type="dxa"/>
            <w:shd w:val="clear" w:color="auto" w:fill="000000"/>
          </w:tcPr>
          <w:p>
            <w:pPr>
              <w:pStyle w:val="TableParagraph"/>
              <w:spacing w:before="7"/>
              <w:ind w:left="513"/>
              <w:rPr>
                <w:b/>
                <w:sz w:val="22"/>
              </w:rPr>
            </w:pPr>
            <w:r>
              <w:rPr>
                <w:b/>
                <w:color w:val="FFFFFF"/>
                <w:sz w:val="22"/>
              </w:rPr>
              <w:t>Retribusi</w:t>
            </w:r>
            <w:r>
              <w:rPr>
                <w:b/>
                <w:color w:val="FFFFFF"/>
                <w:spacing w:val="-11"/>
                <w:sz w:val="22"/>
              </w:rPr>
              <w:t> </w:t>
            </w:r>
            <w:r>
              <w:rPr>
                <w:b/>
                <w:color w:val="FFFFFF"/>
                <w:sz w:val="22"/>
              </w:rPr>
              <w:t>Jasa</w:t>
            </w:r>
            <w:r>
              <w:rPr>
                <w:b/>
                <w:color w:val="FFFFFF"/>
                <w:spacing w:val="-5"/>
                <w:sz w:val="22"/>
              </w:rPr>
              <w:t> </w:t>
            </w:r>
            <w:r>
              <w:rPr>
                <w:b/>
                <w:color w:val="FFFFFF"/>
                <w:spacing w:val="-4"/>
                <w:sz w:val="22"/>
              </w:rPr>
              <w:t>Umum</w:t>
            </w:r>
          </w:p>
        </w:tc>
        <w:tc>
          <w:tcPr>
            <w:tcW w:w="2737" w:type="dxa"/>
            <w:shd w:val="clear" w:color="auto" w:fill="000000"/>
          </w:tcPr>
          <w:p>
            <w:pPr>
              <w:pStyle w:val="TableParagraph"/>
              <w:spacing w:before="7"/>
              <w:ind w:left="327"/>
              <w:rPr>
                <w:b/>
                <w:sz w:val="22"/>
              </w:rPr>
            </w:pPr>
            <w:r>
              <w:rPr>
                <w:b/>
                <w:color w:val="FFFFFF"/>
                <w:sz w:val="22"/>
              </w:rPr>
              <w:t>Retribusi</w:t>
            </w:r>
            <w:r>
              <w:rPr>
                <w:b/>
                <w:color w:val="FFFFFF"/>
                <w:spacing w:val="-13"/>
                <w:sz w:val="22"/>
              </w:rPr>
              <w:t> </w:t>
            </w:r>
            <w:r>
              <w:rPr>
                <w:b/>
                <w:color w:val="FFFFFF"/>
                <w:sz w:val="22"/>
              </w:rPr>
              <w:t>Jasa</w:t>
            </w:r>
            <w:r>
              <w:rPr>
                <w:b/>
                <w:color w:val="FFFFFF"/>
                <w:spacing w:val="-5"/>
                <w:sz w:val="22"/>
              </w:rPr>
              <w:t> </w:t>
            </w:r>
            <w:r>
              <w:rPr>
                <w:b/>
                <w:color w:val="FFFFFF"/>
                <w:spacing w:val="-4"/>
                <w:sz w:val="22"/>
              </w:rPr>
              <w:t>Usaha</w:t>
            </w:r>
          </w:p>
        </w:tc>
        <w:tc>
          <w:tcPr>
            <w:tcW w:w="1930" w:type="dxa"/>
            <w:shd w:val="clear" w:color="auto" w:fill="000000"/>
          </w:tcPr>
          <w:p>
            <w:pPr>
              <w:pStyle w:val="TableParagraph"/>
              <w:ind w:left="495" w:right="483" w:firstLine="14"/>
              <w:jc w:val="both"/>
              <w:rPr>
                <w:b/>
                <w:sz w:val="22"/>
              </w:rPr>
            </w:pPr>
            <w:r>
              <w:rPr>
                <w:b/>
                <w:color w:val="FFFFFF"/>
                <w:spacing w:val="-2"/>
                <w:sz w:val="22"/>
              </w:rPr>
              <w:t>Retribusi Perizinan Tertentu</w:t>
            </w:r>
          </w:p>
        </w:tc>
      </w:tr>
      <w:tr>
        <w:trPr>
          <w:trHeight w:val="9074" w:hRule="atLeast"/>
        </w:trPr>
        <w:tc>
          <w:tcPr>
            <w:tcW w:w="3183" w:type="dxa"/>
            <w:tcBorders>
              <w:left w:val="single" w:sz="4" w:space="0" w:color="000000"/>
              <w:bottom w:val="single" w:sz="4" w:space="0" w:color="000000"/>
              <w:right w:val="single" w:sz="4" w:space="0" w:color="000000"/>
            </w:tcBorders>
          </w:tcPr>
          <w:p>
            <w:pPr>
              <w:pStyle w:val="TableParagraph"/>
              <w:numPr>
                <w:ilvl w:val="0"/>
                <w:numId w:val="14"/>
              </w:numPr>
              <w:tabs>
                <w:tab w:pos="503" w:val="left" w:leader="none"/>
                <w:tab w:pos="2092" w:val="left" w:leader="none"/>
              </w:tabs>
              <w:spacing w:line="240" w:lineRule="auto" w:before="0" w:after="0"/>
              <w:ind w:left="503" w:right="99" w:hanging="360"/>
              <w:jc w:val="both"/>
              <w:rPr>
                <w:sz w:val="22"/>
              </w:rPr>
            </w:pPr>
            <w:r>
              <w:rPr>
                <w:spacing w:val="-2"/>
                <w:sz w:val="22"/>
              </w:rPr>
              <w:t>Retribusi</w:t>
            </w:r>
            <w:r>
              <w:rPr>
                <w:sz w:val="22"/>
              </w:rPr>
              <w:tab/>
            </w:r>
            <w:r>
              <w:rPr>
                <w:spacing w:val="-2"/>
                <w:sz w:val="22"/>
              </w:rPr>
              <w:t>Pelayanan Kesehatan;</w:t>
            </w:r>
          </w:p>
          <w:p>
            <w:pPr>
              <w:pStyle w:val="TableParagraph"/>
              <w:numPr>
                <w:ilvl w:val="0"/>
                <w:numId w:val="14"/>
              </w:numPr>
              <w:tabs>
                <w:tab w:pos="503" w:val="left" w:leader="none"/>
                <w:tab w:pos="2092" w:val="left" w:leader="none"/>
              </w:tabs>
              <w:spacing w:line="240" w:lineRule="auto" w:before="0" w:after="0"/>
              <w:ind w:left="503" w:right="99" w:hanging="360"/>
              <w:jc w:val="both"/>
              <w:rPr>
                <w:sz w:val="22"/>
              </w:rPr>
            </w:pPr>
            <w:r>
              <w:rPr>
                <w:spacing w:val="-2"/>
                <w:sz w:val="22"/>
              </w:rPr>
              <w:t>Retribusi</w:t>
            </w:r>
            <w:r>
              <w:rPr>
                <w:sz w:val="22"/>
              </w:rPr>
              <w:tab/>
            </w:r>
            <w:r>
              <w:rPr>
                <w:spacing w:val="-2"/>
                <w:sz w:val="22"/>
              </w:rPr>
              <w:t>Pelayanan Persampahan/Kebersihan;</w:t>
            </w:r>
          </w:p>
          <w:p>
            <w:pPr>
              <w:pStyle w:val="TableParagraph"/>
              <w:numPr>
                <w:ilvl w:val="0"/>
                <w:numId w:val="14"/>
              </w:numPr>
              <w:tabs>
                <w:tab w:pos="503" w:val="left" w:leader="none"/>
              </w:tabs>
              <w:spacing w:line="240" w:lineRule="auto" w:before="0" w:after="0"/>
              <w:ind w:left="503" w:right="88" w:hanging="360"/>
              <w:jc w:val="both"/>
              <w:rPr>
                <w:sz w:val="22"/>
              </w:rPr>
            </w:pPr>
            <w:r>
              <w:rPr>
                <w:sz w:val="22"/>
              </w:rPr>
              <w:t>Retribusi Penggantian Biaya Cetak Kartu Tanda Penduduk dan </w:t>
            </w:r>
            <w:r>
              <w:rPr>
                <w:sz w:val="22"/>
              </w:rPr>
              <w:t>Akte Catatan Sipil;</w:t>
            </w:r>
          </w:p>
          <w:p>
            <w:pPr>
              <w:pStyle w:val="TableParagraph"/>
              <w:numPr>
                <w:ilvl w:val="0"/>
                <w:numId w:val="14"/>
              </w:numPr>
              <w:tabs>
                <w:tab w:pos="503" w:val="left" w:leader="none"/>
                <w:tab w:pos="2092" w:val="left" w:leader="none"/>
                <w:tab w:pos="2707" w:val="left" w:leader="none"/>
              </w:tabs>
              <w:spacing w:line="240" w:lineRule="auto" w:before="0" w:after="0"/>
              <w:ind w:left="503" w:right="98" w:hanging="360"/>
              <w:jc w:val="both"/>
              <w:rPr>
                <w:sz w:val="22"/>
              </w:rPr>
            </w:pPr>
            <w:r>
              <w:rPr>
                <w:spacing w:val="-2"/>
                <w:sz w:val="22"/>
              </w:rPr>
              <w:t>Retribusi</w:t>
            </w:r>
            <w:r>
              <w:rPr>
                <w:sz w:val="22"/>
              </w:rPr>
              <w:tab/>
            </w:r>
            <w:r>
              <w:rPr>
                <w:spacing w:val="-2"/>
                <w:sz w:val="22"/>
              </w:rPr>
              <w:t>Pelayanan Pemakaman</w:t>
            </w:r>
            <w:r>
              <w:rPr>
                <w:sz w:val="22"/>
              </w:rPr>
              <w:tab/>
              <w:tab/>
            </w:r>
            <w:r>
              <w:rPr>
                <w:spacing w:val="-4"/>
                <w:sz w:val="22"/>
              </w:rPr>
              <w:t>dan </w:t>
            </w:r>
            <w:r>
              <w:rPr>
                <w:sz w:val="22"/>
              </w:rPr>
              <w:t>Pengabuan Mayat;</w:t>
            </w:r>
          </w:p>
          <w:p>
            <w:pPr>
              <w:pStyle w:val="TableParagraph"/>
              <w:numPr>
                <w:ilvl w:val="0"/>
                <w:numId w:val="14"/>
              </w:numPr>
              <w:tabs>
                <w:tab w:pos="503" w:val="left" w:leader="none"/>
              </w:tabs>
              <w:spacing w:line="240" w:lineRule="auto" w:before="1" w:after="0"/>
              <w:ind w:left="503" w:right="94" w:hanging="360"/>
              <w:jc w:val="both"/>
              <w:rPr>
                <w:sz w:val="22"/>
              </w:rPr>
            </w:pPr>
            <w:r>
              <w:rPr>
                <w:sz w:val="22"/>
              </w:rPr>
              <w:t>Retribusi Pelayanan Parkir di Tepi Jalan Umum;</w:t>
            </w:r>
          </w:p>
          <w:p>
            <w:pPr>
              <w:pStyle w:val="TableParagraph"/>
              <w:numPr>
                <w:ilvl w:val="0"/>
                <w:numId w:val="14"/>
              </w:numPr>
              <w:tabs>
                <w:tab w:pos="503" w:val="left" w:leader="none"/>
              </w:tabs>
              <w:spacing w:line="288" w:lineRule="exact" w:before="0" w:after="0"/>
              <w:ind w:left="503" w:right="0" w:hanging="360"/>
              <w:jc w:val="both"/>
              <w:rPr>
                <w:sz w:val="22"/>
              </w:rPr>
            </w:pPr>
            <w:r>
              <w:rPr>
                <w:sz w:val="22"/>
              </w:rPr>
              <w:t>Retribusi</w:t>
            </w:r>
            <w:r>
              <w:rPr>
                <w:spacing w:val="-14"/>
                <w:sz w:val="22"/>
              </w:rPr>
              <w:t> </w:t>
            </w:r>
            <w:r>
              <w:rPr>
                <w:sz w:val="22"/>
              </w:rPr>
              <w:t>Pelayanan</w:t>
            </w:r>
            <w:r>
              <w:rPr>
                <w:spacing w:val="-12"/>
                <w:sz w:val="22"/>
              </w:rPr>
              <w:t> </w:t>
            </w:r>
            <w:r>
              <w:rPr>
                <w:spacing w:val="-2"/>
                <w:sz w:val="22"/>
              </w:rPr>
              <w:t>Pasar;</w:t>
            </w:r>
          </w:p>
          <w:p>
            <w:pPr>
              <w:pStyle w:val="TableParagraph"/>
              <w:numPr>
                <w:ilvl w:val="0"/>
                <w:numId w:val="14"/>
              </w:numPr>
              <w:tabs>
                <w:tab w:pos="503" w:val="left" w:leader="none"/>
                <w:tab w:pos="2117" w:val="left" w:leader="none"/>
              </w:tabs>
              <w:spacing w:line="240" w:lineRule="auto" w:before="0" w:after="0"/>
              <w:ind w:left="503" w:right="98" w:hanging="360"/>
              <w:jc w:val="left"/>
              <w:rPr>
                <w:sz w:val="22"/>
              </w:rPr>
            </w:pPr>
            <w:r>
              <w:rPr>
                <w:spacing w:val="-2"/>
                <w:sz w:val="22"/>
              </w:rPr>
              <w:t>Retribusi</w:t>
            </w:r>
            <w:r>
              <w:rPr>
                <w:sz w:val="22"/>
              </w:rPr>
              <w:tab/>
            </w:r>
            <w:r>
              <w:rPr>
                <w:spacing w:val="-2"/>
                <w:sz w:val="22"/>
              </w:rPr>
              <w:t>Pengujian </w:t>
            </w:r>
            <w:r>
              <w:rPr>
                <w:sz w:val="22"/>
              </w:rPr>
              <w:t>Kendaraan Bermotor;</w:t>
            </w:r>
          </w:p>
          <w:p>
            <w:pPr>
              <w:pStyle w:val="TableParagraph"/>
              <w:numPr>
                <w:ilvl w:val="0"/>
                <w:numId w:val="14"/>
              </w:numPr>
              <w:tabs>
                <w:tab w:pos="503" w:val="left" w:leader="none"/>
              </w:tabs>
              <w:spacing w:line="240" w:lineRule="auto" w:before="0" w:after="0"/>
              <w:ind w:left="503" w:right="105" w:hanging="360"/>
              <w:jc w:val="left"/>
              <w:rPr>
                <w:sz w:val="22"/>
              </w:rPr>
            </w:pPr>
            <w:r>
              <w:rPr>
                <w:sz w:val="22"/>
              </w:rPr>
              <w:t>Retribusi</w:t>
            </w:r>
            <w:r>
              <w:rPr>
                <w:spacing w:val="-16"/>
                <w:sz w:val="22"/>
              </w:rPr>
              <w:t> </w:t>
            </w:r>
            <w:r>
              <w:rPr>
                <w:sz w:val="22"/>
              </w:rPr>
              <w:t>Pemeriksaan</w:t>
            </w:r>
            <w:r>
              <w:rPr>
                <w:spacing w:val="-15"/>
                <w:sz w:val="22"/>
              </w:rPr>
              <w:t> </w:t>
            </w:r>
            <w:r>
              <w:rPr>
                <w:sz w:val="22"/>
              </w:rPr>
              <w:t>Alat Pemadam Kebakaran;</w:t>
            </w:r>
          </w:p>
          <w:p>
            <w:pPr>
              <w:pStyle w:val="TableParagraph"/>
              <w:numPr>
                <w:ilvl w:val="0"/>
                <w:numId w:val="14"/>
              </w:numPr>
              <w:tabs>
                <w:tab w:pos="503" w:val="left" w:leader="none"/>
                <w:tab w:pos="1852" w:val="left" w:leader="none"/>
              </w:tabs>
              <w:spacing w:line="240" w:lineRule="auto" w:before="1" w:after="0"/>
              <w:ind w:left="503" w:right="103" w:hanging="360"/>
              <w:jc w:val="left"/>
              <w:rPr>
                <w:sz w:val="22"/>
              </w:rPr>
            </w:pPr>
            <w:r>
              <w:rPr>
                <w:spacing w:val="-2"/>
                <w:sz w:val="22"/>
              </w:rPr>
              <w:t>Retribusi</w:t>
            </w:r>
            <w:r>
              <w:rPr>
                <w:sz w:val="22"/>
              </w:rPr>
              <w:tab/>
            </w:r>
            <w:r>
              <w:rPr>
                <w:spacing w:val="-2"/>
                <w:sz w:val="22"/>
              </w:rPr>
              <w:t>Penggantian </w:t>
            </w:r>
            <w:r>
              <w:rPr>
                <w:sz w:val="22"/>
              </w:rPr>
              <w:t>Biaya Cetak Peta; dan</w:t>
            </w:r>
          </w:p>
          <w:p>
            <w:pPr>
              <w:pStyle w:val="TableParagraph"/>
              <w:numPr>
                <w:ilvl w:val="0"/>
                <w:numId w:val="14"/>
              </w:numPr>
              <w:tabs>
                <w:tab w:pos="503" w:val="left" w:leader="none"/>
              </w:tabs>
              <w:spacing w:line="240" w:lineRule="auto" w:before="0" w:after="0"/>
              <w:ind w:left="503" w:right="107" w:hanging="360"/>
              <w:jc w:val="left"/>
              <w:rPr>
                <w:sz w:val="22"/>
              </w:rPr>
            </w:pPr>
            <w:r>
              <w:rPr>
                <w:sz w:val="22"/>
              </w:rPr>
              <w:t>Retribusi</w:t>
            </w:r>
            <w:r>
              <w:rPr>
                <w:spacing w:val="28"/>
                <w:sz w:val="22"/>
              </w:rPr>
              <w:t> </w:t>
            </w:r>
            <w:r>
              <w:rPr>
                <w:sz w:val="22"/>
              </w:rPr>
              <w:t>Pengujian</w:t>
            </w:r>
            <w:r>
              <w:rPr>
                <w:spacing w:val="28"/>
                <w:sz w:val="22"/>
              </w:rPr>
              <w:t> </w:t>
            </w:r>
            <w:r>
              <w:rPr>
                <w:sz w:val="22"/>
              </w:rPr>
              <w:t>Kapal </w:t>
            </w:r>
            <w:r>
              <w:rPr>
                <w:spacing w:val="-2"/>
                <w:sz w:val="22"/>
              </w:rPr>
              <w:t>Perikanan</w:t>
            </w:r>
          </w:p>
        </w:tc>
        <w:tc>
          <w:tcPr>
            <w:tcW w:w="2737" w:type="dxa"/>
            <w:tcBorders>
              <w:left w:val="single" w:sz="4" w:space="0" w:color="000000"/>
              <w:bottom w:val="single" w:sz="4" w:space="0" w:color="000000"/>
              <w:right w:val="single" w:sz="4" w:space="0" w:color="000000"/>
            </w:tcBorders>
          </w:tcPr>
          <w:p>
            <w:pPr>
              <w:pStyle w:val="TableParagraph"/>
              <w:numPr>
                <w:ilvl w:val="0"/>
                <w:numId w:val="15"/>
              </w:numPr>
              <w:tabs>
                <w:tab w:pos="646" w:val="left" w:leader="none"/>
                <w:tab w:pos="648" w:val="left" w:leader="none"/>
              </w:tabs>
              <w:spacing w:line="240" w:lineRule="auto" w:before="0" w:after="0"/>
              <w:ind w:left="648" w:right="89" w:hanging="538"/>
              <w:jc w:val="both"/>
              <w:rPr>
                <w:sz w:val="22"/>
              </w:rPr>
            </w:pPr>
            <w:r>
              <w:rPr>
                <w:sz w:val="22"/>
              </w:rPr>
              <w:t>Retribusi</w:t>
            </w:r>
            <w:r>
              <w:rPr>
                <w:spacing w:val="-11"/>
                <w:sz w:val="22"/>
              </w:rPr>
              <w:t> </w:t>
            </w:r>
            <w:r>
              <w:rPr>
                <w:sz w:val="22"/>
              </w:rPr>
              <w:t>Pemakaian Kekayaan Daerah;</w:t>
            </w:r>
          </w:p>
          <w:p>
            <w:pPr>
              <w:pStyle w:val="TableParagraph"/>
              <w:numPr>
                <w:ilvl w:val="0"/>
                <w:numId w:val="15"/>
              </w:numPr>
              <w:tabs>
                <w:tab w:pos="648" w:val="left" w:leader="none"/>
              </w:tabs>
              <w:spacing w:line="240" w:lineRule="auto" w:before="0" w:after="0"/>
              <w:ind w:left="648" w:right="83" w:hanging="538"/>
              <w:jc w:val="both"/>
              <w:rPr>
                <w:sz w:val="22"/>
              </w:rPr>
            </w:pPr>
            <w:r>
              <w:rPr>
                <w:sz w:val="22"/>
              </w:rPr>
              <w:t>Retribusi </w:t>
            </w:r>
            <w:r>
              <w:rPr>
                <w:sz w:val="22"/>
              </w:rPr>
              <w:t>Pasar Grosir dan/atau </w:t>
            </w:r>
            <w:r>
              <w:rPr>
                <w:spacing w:val="-2"/>
                <w:sz w:val="22"/>
              </w:rPr>
              <w:t>Pertokoan;</w:t>
            </w:r>
          </w:p>
          <w:p>
            <w:pPr>
              <w:pStyle w:val="TableParagraph"/>
              <w:numPr>
                <w:ilvl w:val="0"/>
                <w:numId w:val="15"/>
              </w:numPr>
              <w:tabs>
                <w:tab w:pos="648" w:val="left" w:leader="none"/>
              </w:tabs>
              <w:spacing w:line="240" w:lineRule="auto" w:before="0" w:after="0"/>
              <w:ind w:left="648" w:right="86" w:hanging="538"/>
              <w:jc w:val="both"/>
              <w:rPr>
                <w:sz w:val="22"/>
              </w:rPr>
            </w:pPr>
            <w:r>
              <w:rPr>
                <w:sz w:val="22"/>
              </w:rPr>
              <w:t>Retribusi </w:t>
            </w:r>
            <w:r>
              <w:rPr>
                <w:sz w:val="22"/>
              </w:rPr>
              <w:t>Tempat </w:t>
            </w:r>
            <w:r>
              <w:rPr>
                <w:spacing w:val="-2"/>
                <w:sz w:val="22"/>
              </w:rPr>
              <w:t>Pelelangan;</w:t>
            </w:r>
          </w:p>
          <w:p>
            <w:pPr>
              <w:pStyle w:val="TableParagraph"/>
              <w:numPr>
                <w:ilvl w:val="0"/>
                <w:numId w:val="15"/>
              </w:numPr>
              <w:tabs>
                <w:tab w:pos="647" w:val="left" w:leader="none"/>
              </w:tabs>
              <w:spacing w:line="240" w:lineRule="auto" w:before="0" w:after="0"/>
              <w:ind w:left="647" w:right="0" w:hanging="537"/>
              <w:jc w:val="both"/>
              <w:rPr>
                <w:sz w:val="22"/>
              </w:rPr>
            </w:pPr>
            <w:r>
              <w:rPr>
                <w:sz w:val="22"/>
              </w:rPr>
              <w:t>Retribusi</w:t>
            </w:r>
            <w:r>
              <w:rPr>
                <w:spacing w:val="-11"/>
                <w:sz w:val="22"/>
              </w:rPr>
              <w:t> </w:t>
            </w:r>
            <w:r>
              <w:rPr>
                <w:spacing w:val="-2"/>
                <w:sz w:val="22"/>
              </w:rPr>
              <w:t>Terminal;</w:t>
            </w:r>
          </w:p>
          <w:p>
            <w:pPr>
              <w:pStyle w:val="TableParagraph"/>
              <w:numPr>
                <w:ilvl w:val="0"/>
                <w:numId w:val="15"/>
              </w:numPr>
              <w:tabs>
                <w:tab w:pos="648" w:val="left" w:leader="none"/>
                <w:tab w:pos="1896" w:val="left" w:leader="none"/>
              </w:tabs>
              <w:spacing w:line="240" w:lineRule="auto" w:before="0" w:after="0"/>
              <w:ind w:left="648" w:right="95" w:hanging="538"/>
              <w:jc w:val="left"/>
              <w:rPr>
                <w:sz w:val="22"/>
              </w:rPr>
            </w:pPr>
            <w:r>
              <w:rPr>
                <w:spacing w:val="-2"/>
                <w:sz w:val="22"/>
              </w:rPr>
              <w:t>Retribusi</w:t>
            </w:r>
            <w:r>
              <w:rPr>
                <w:sz w:val="22"/>
              </w:rPr>
              <w:tab/>
            </w:r>
            <w:r>
              <w:rPr>
                <w:spacing w:val="-2"/>
                <w:sz w:val="22"/>
              </w:rPr>
              <w:t>Tempat </w:t>
            </w:r>
            <w:r>
              <w:rPr>
                <w:sz w:val="22"/>
              </w:rPr>
              <w:t>Khusus Parkir;</w:t>
            </w:r>
          </w:p>
          <w:p>
            <w:pPr>
              <w:pStyle w:val="TableParagraph"/>
              <w:numPr>
                <w:ilvl w:val="0"/>
                <w:numId w:val="15"/>
              </w:numPr>
              <w:tabs>
                <w:tab w:pos="648" w:val="left" w:leader="none"/>
                <w:tab w:pos="1896" w:val="left" w:leader="none"/>
              </w:tabs>
              <w:spacing w:line="240" w:lineRule="auto" w:before="0" w:after="0"/>
              <w:ind w:left="648" w:right="95" w:hanging="538"/>
              <w:jc w:val="left"/>
              <w:rPr>
                <w:sz w:val="22"/>
              </w:rPr>
            </w:pPr>
            <w:r>
              <w:rPr>
                <w:spacing w:val="-2"/>
                <w:sz w:val="22"/>
              </w:rPr>
              <w:t>Retribusi</w:t>
            </w:r>
            <w:r>
              <w:rPr>
                <w:sz w:val="22"/>
              </w:rPr>
              <w:tab/>
            </w:r>
            <w:r>
              <w:rPr>
                <w:spacing w:val="-2"/>
                <w:sz w:val="22"/>
              </w:rPr>
              <w:t>Tempat Penginapan/ Pesanggrahan/Villa;</w:t>
            </w:r>
          </w:p>
          <w:p>
            <w:pPr>
              <w:pStyle w:val="TableParagraph"/>
              <w:numPr>
                <w:ilvl w:val="0"/>
                <w:numId w:val="15"/>
              </w:numPr>
              <w:tabs>
                <w:tab w:pos="648" w:val="left" w:leader="none"/>
              </w:tabs>
              <w:spacing w:line="240" w:lineRule="auto" w:before="1" w:after="0"/>
              <w:ind w:left="648" w:right="252" w:hanging="538"/>
              <w:jc w:val="left"/>
              <w:rPr>
                <w:sz w:val="22"/>
              </w:rPr>
            </w:pPr>
            <w:r>
              <w:rPr>
                <w:spacing w:val="-2"/>
                <w:sz w:val="22"/>
              </w:rPr>
              <w:t>Retribusi </w:t>
            </w:r>
            <w:r>
              <w:rPr>
                <w:sz w:val="22"/>
              </w:rPr>
              <w:t>Penyedotan</w:t>
            </w:r>
            <w:r>
              <w:rPr>
                <w:spacing w:val="-16"/>
                <w:sz w:val="22"/>
              </w:rPr>
              <w:t> </w:t>
            </w:r>
            <w:r>
              <w:rPr>
                <w:sz w:val="22"/>
              </w:rPr>
              <w:t>Kakus;</w:t>
            </w:r>
          </w:p>
          <w:p>
            <w:pPr>
              <w:pStyle w:val="TableParagraph"/>
              <w:numPr>
                <w:ilvl w:val="0"/>
                <w:numId w:val="15"/>
              </w:numPr>
              <w:tabs>
                <w:tab w:pos="648" w:val="left" w:leader="none"/>
                <w:tab w:pos="1949" w:val="left" w:leader="none"/>
              </w:tabs>
              <w:spacing w:line="237" w:lineRule="auto" w:before="3" w:after="0"/>
              <w:ind w:left="648" w:right="93" w:hanging="538"/>
              <w:jc w:val="left"/>
              <w:rPr>
                <w:sz w:val="22"/>
              </w:rPr>
            </w:pPr>
            <w:r>
              <w:rPr>
                <w:spacing w:val="-2"/>
                <w:sz w:val="22"/>
              </w:rPr>
              <w:t>Retribusi</w:t>
            </w:r>
            <w:r>
              <w:rPr>
                <w:sz w:val="22"/>
              </w:rPr>
              <w:tab/>
            </w:r>
            <w:r>
              <w:rPr>
                <w:spacing w:val="-4"/>
                <w:sz w:val="22"/>
              </w:rPr>
              <w:t>Rumah </w:t>
            </w:r>
            <w:r>
              <w:rPr>
                <w:sz w:val="22"/>
              </w:rPr>
              <w:t>Potong Hewan;</w:t>
            </w:r>
          </w:p>
          <w:p>
            <w:pPr>
              <w:pStyle w:val="TableParagraph"/>
              <w:numPr>
                <w:ilvl w:val="0"/>
                <w:numId w:val="15"/>
              </w:numPr>
              <w:tabs>
                <w:tab w:pos="648" w:val="left" w:leader="none"/>
              </w:tabs>
              <w:spacing w:line="240" w:lineRule="auto" w:before="0" w:after="0"/>
              <w:ind w:left="648" w:right="161" w:hanging="538"/>
              <w:jc w:val="both"/>
              <w:rPr>
                <w:sz w:val="22"/>
              </w:rPr>
            </w:pPr>
            <w:r>
              <w:rPr>
                <w:sz w:val="22"/>
              </w:rPr>
              <w:t>Retribusi</w:t>
            </w:r>
            <w:r>
              <w:rPr>
                <w:spacing w:val="-16"/>
                <w:sz w:val="22"/>
              </w:rPr>
              <w:t> </w:t>
            </w:r>
            <w:r>
              <w:rPr>
                <w:sz w:val="22"/>
              </w:rPr>
              <w:t>Pelayanan Pelabuhan Kapal;</w:t>
            </w:r>
          </w:p>
          <w:p>
            <w:pPr>
              <w:pStyle w:val="TableParagraph"/>
              <w:numPr>
                <w:ilvl w:val="0"/>
                <w:numId w:val="15"/>
              </w:numPr>
              <w:tabs>
                <w:tab w:pos="648" w:val="left" w:leader="none"/>
              </w:tabs>
              <w:spacing w:line="240" w:lineRule="auto" w:before="0" w:after="0"/>
              <w:ind w:left="648" w:right="83" w:hanging="538"/>
              <w:jc w:val="both"/>
              <w:rPr>
                <w:sz w:val="22"/>
              </w:rPr>
            </w:pPr>
            <w:r>
              <w:rPr>
                <w:sz w:val="22"/>
              </w:rPr>
              <w:t>Retribusi Tempat Rekreasi dan </w:t>
            </w:r>
            <w:r>
              <w:rPr>
                <w:sz w:val="22"/>
              </w:rPr>
              <w:t>Olah </w:t>
            </w:r>
            <w:r>
              <w:rPr>
                <w:spacing w:val="-2"/>
                <w:sz w:val="22"/>
              </w:rPr>
              <w:t>Raga;</w:t>
            </w:r>
          </w:p>
          <w:p>
            <w:pPr>
              <w:pStyle w:val="TableParagraph"/>
              <w:numPr>
                <w:ilvl w:val="0"/>
                <w:numId w:val="15"/>
              </w:numPr>
              <w:tabs>
                <w:tab w:pos="648" w:val="left" w:leader="none"/>
                <w:tab w:pos="2448" w:val="left" w:leader="none"/>
              </w:tabs>
              <w:spacing w:line="240" w:lineRule="auto" w:before="0" w:after="0"/>
              <w:ind w:left="648" w:right="93" w:hanging="538"/>
              <w:jc w:val="left"/>
              <w:rPr>
                <w:sz w:val="22"/>
              </w:rPr>
            </w:pPr>
            <w:r>
              <w:rPr>
                <w:spacing w:val="-2"/>
                <w:sz w:val="22"/>
              </w:rPr>
              <w:t>Retribusi Penyeberangan</w:t>
            </w:r>
            <w:r>
              <w:rPr>
                <w:sz w:val="22"/>
              </w:rPr>
              <w:tab/>
            </w:r>
            <w:r>
              <w:rPr>
                <w:spacing w:val="-6"/>
                <w:sz w:val="22"/>
              </w:rPr>
              <w:t>di </w:t>
            </w:r>
            <w:r>
              <w:rPr>
                <w:sz w:val="22"/>
              </w:rPr>
              <w:t>Atas Air;</w:t>
            </w:r>
          </w:p>
          <w:p>
            <w:pPr>
              <w:pStyle w:val="TableParagraph"/>
              <w:numPr>
                <w:ilvl w:val="0"/>
                <w:numId w:val="15"/>
              </w:numPr>
              <w:tabs>
                <w:tab w:pos="648" w:val="left" w:leader="none"/>
              </w:tabs>
              <w:spacing w:line="240" w:lineRule="auto" w:before="1" w:after="0"/>
              <w:ind w:left="648" w:right="151" w:hanging="538"/>
              <w:jc w:val="left"/>
              <w:rPr>
                <w:sz w:val="22"/>
              </w:rPr>
            </w:pPr>
            <w:r>
              <w:rPr>
                <w:spacing w:val="-2"/>
                <w:sz w:val="22"/>
              </w:rPr>
              <w:t>Retribusi </w:t>
            </w:r>
            <w:r>
              <w:rPr>
                <w:sz w:val="22"/>
              </w:rPr>
              <w:t>Pengolahan</w:t>
            </w:r>
            <w:r>
              <w:rPr>
                <w:spacing w:val="-16"/>
                <w:sz w:val="22"/>
              </w:rPr>
              <w:t> </w:t>
            </w:r>
            <w:r>
              <w:rPr>
                <w:sz w:val="22"/>
              </w:rPr>
              <w:t>Limbah Cair; dan</w:t>
            </w:r>
          </w:p>
          <w:p>
            <w:pPr>
              <w:pStyle w:val="TableParagraph"/>
              <w:numPr>
                <w:ilvl w:val="0"/>
                <w:numId w:val="15"/>
              </w:numPr>
              <w:tabs>
                <w:tab w:pos="646" w:val="left" w:leader="none"/>
                <w:tab w:pos="648" w:val="left" w:leader="none"/>
              </w:tabs>
              <w:spacing w:line="290" w:lineRule="atLeast" w:before="0" w:after="0"/>
              <w:ind w:left="648" w:right="82" w:hanging="538"/>
              <w:jc w:val="both"/>
              <w:rPr>
                <w:sz w:val="22"/>
              </w:rPr>
            </w:pPr>
            <w:r>
              <w:rPr>
                <w:sz w:val="22"/>
              </w:rPr>
              <w:t>Retribusi Penjualan Produksi </w:t>
            </w:r>
            <w:r>
              <w:rPr>
                <w:sz w:val="22"/>
              </w:rPr>
              <w:t>Usaha </w:t>
            </w:r>
            <w:r>
              <w:rPr>
                <w:spacing w:val="-2"/>
                <w:sz w:val="22"/>
              </w:rPr>
              <w:t>Daerah</w:t>
            </w:r>
          </w:p>
        </w:tc>
        <w:tc>
          <w:tcPr>
            <w:tcW w:w="1930" w:type="dxa"/>
            <w:tcBorders>
              <w:left w:val="single" w:sz="4" w:space="0" w:color="000000"/>
              <w:bottom w:val="single" w:sz="4" w:space="0" w:color="000000"/>
              <w:right w:val="single" w:sz="4" w:space="0" w:color="000000"/>
            </w:tcBorders>
          </w:tcPr>
          <w:p>
            <w:pPr>
              <w:pStyle w:val="TableParagraph"/>
              <w:numPr>
                <w:ilvl w:val="0"/>
                <w:numId w:val="16"/>
              </w:numPr>
              <w:tabs>
                <w:tab w:pos="701" w:val="left" w:leader="none"/>
              </w:tabs>
              <w:spacing w:line="240" w:lineRule="auto" w:before="0" w:after="0"/>
              <w:ind w:left="701" w:right="126" w:hanging="567"/>
              <w:jc w:val="left"/>
              <w:rPr>
                <w:sz w:val="22"/>
              </w:rPr>
            </w:pPr>
            <w:r>
              <w:rPr>
                <w:spacing w:val="-2"/>
                <w:sz w:val="22"/>
              </w:rPr>
              <w:t>Retribusi </w:t>
            </w:r>
            <w:r>
              <w:rPr>
                <w:spacing w:val="-4"/>
                <w:sz w:val="22"/>
              </w:rPr>
              <w:t>Izin </w:t>
            </w:r>
            <w:r>
              <w:rPr>
                <w:spacing w:val="-2"/>
                <w:sz w:val="22"/>
              </w:rPr>
              <w:t>Mendirikan Bangunan;</w:t>
            </w:r>
          </w:p>
          <w:p>
            <w:pPr>
              <w:pStyle w:val="TableParagraph"/>
              <w:numPr>
                <w:ilvl w:val="0"/>
                <w:numId w:val="16"/>
              </w:numPr>
              <w:tabs>
                <w:tab w:pos="701" w:val="left" w:leader="none"/>
              </w:tabs>
              <w:spacing w:line="240" w:lineRule="auto" w:before="0" w:after="0"/>
              <w:ind w:left="701" w:right="100" w:hanging="567"/>
              <w:jc w:val="left"/>
              <w:rPr>
                <w:sz w:val="22"/>
              </w:rPr>
            </w:pPr>
            <w:r>
              <w:rPr>
                <w:spacing w:val="-2"/>
                <w:sz w:val="22"/>
              </w:rPr>
              <w:t>Retribusi Izin</w:t>
            </w:r>
            <w:r>
              <w:rPr>
                <w:spacing w:val="-14"/>
                <w:sz w:val="22"/>
              </w:rPr>
              <w:t> </w:t>
            </w:r>
            <w:r>
              <w:rPr>
                <w:spacing w:val="-2"/>
                <w:sz w:val="22"/>
              </w:rPr>
              <w:t>Tempat Penjualan Minuman Beralkohol;</w:t>
            </w:r>
          </w:p>
          <w:p>
            <w:pPr>
              <w:pStyle w:val="TableParagraph"/>
              <w:numPr>
                <w:ilvl w:val="0"/>
                <w:numId w:val="16"/>
              </w:numPr>
              <w:tabs>
                <w:tab w:pos="701" w:val="left" w:leader="none"/>
              </w:tabs>
              <w:spacing w:line="240" w:lineRule="auto" w:before="0" w:after="0"/>
              <w:ind w:left="701" w:right="160" w:hanging="567"/>
              <w:jc w:val="left"/>
              <w:rPr>
                <w:sz w:val="22"/>
              </w:rPr>
            </w:pPr>
            <w:r>
              <w:rPr>
                <w:spacing w:val="-2"/>
                <w:sz w:val="22"/>
              </w:rPr>
              <w:t>Retribusi </w:t>
            </w:r>
            <w:r>
              <w:rPr>
                <w:spacing w:val="-4"/>
                <w:sz w:val="22"/>
              </w:rPr>
              <w:t>Izin </w:t>
            </w:r>
            <w:r>
              <w:rPr>
                <w:spacing w:val="-2"/>
                <w:sz w:val="22"/>
              </w:rPr>
              <w:t>Gangguan; </w:t>
            </w:r>
            <w:r>
              <w:rPr>
                <w:spacing w:val="-4"/>
                <w:sz w:val="22"/>
              </w:rPr>
              <w:t>dan</w:t>
            </w:r>
          </w:p>
          <w:p>
            <w:pPr>
              <w:pStyle w:val="TableParagraph"/>
              <w:numPr>
                <w:ilvl w:val="0"/>
                <w:numId w:val="16"/>
              </w:numPr>
              <w:tabs>
                <w:tab w:pos="701" w:val="left" w:leader="none"/>
              </w:tabs>
              <w:spacing w:line="240" w:lineRule="auto" w:before="1" w:after="0"/>
              <w:ind w:left="701" w:right="151" w:hanging="567"/>
              <w:jc w:val="left"/>
              <w:rPr>
                <w:sz w:val="22"/>
              </w:rPr>
            </w:pPr>
            <w:r>
              <w:rPr>
                <w:spacing w:val="-2"/>
                <w:sz w:val="22"/>
              </w:rPr>
              <w:t>Retribusi Izin</w:t>
            </w:r>
            <w:r>
              <w:rPr>
                <w:spacing w:val="-14"/>
                <w:sz w:val="22"/>
              </w:rPr>
              <w:t> </w:t>
            </w:r>
            <w:r>
              <w:rPr>
                <w:spacing w:val="-2"/>
                <w:sz w:val="22"/>
              </w:rPr>
              <w:t>Trayek.</w:t>
            </w:r>
          </w:p>
        </w:tc>
      </w:tr>
    </w:tbl>
    <w:p>
      <w:pPr>
        <w:pStyle w:val="BodyText"/>
        <w:spacing w:before="5"/>
        <w:ind w:left="1560"/>
        <w:jc w:val="left"/>
      </w:pPr>
      <w:r>
        <w:rPr>
          <w:i/>
        </w:rPr>
        <w:t>Sumber</w:t>
      </w:r>
      <w:r>
        <w:rPr/>
        <w:t>:</w:t>
      </w:r>
      <w:r>
        <w:rPr>
          <w:spacing w:val="-6"/>
        </w:rPr>
        <w:t> </w:t>
      </w:r>
      <w:r>
        <w:rPr/>
        <w:t>UU</w:t>
      </w:r>
      <w:r>
        <w:rPr>
          <w:spacing w:val="-2"/>
        </w:rPr>
        <w:t> </w:t>
      </w:r>
      <w:r>
        <w:rPr/>
        <w:t>Nomor</w:t>
      </w:r>
      <w:r>
        <w:rPr>
          <w:spacing w:val="-3"/>
        </w:rPr>
        <w:t> </w:t>
      </w:r>
      <w:r>
        <w:rPr/>
        <w:t>1</w:t>
      </w:r>
      <w:r>
        <w:rPr>
          <w:spacing w:val="-6"/>
        </w:rPr>
        <w:t> </w:t>
      </w:r>
      <w:r>
        <w:rPr/>
        <w:t>Tahun</w:t>
      </w:r>
      <w:r>
        <w:rPr>
          <w:spacing w:val="-2"/>
        </w:rPr>
        <w:t> </w:t>
      </w:r>
      <w:r>
        <w:rPr/>
        <w:t>2022,</w:t>
      </w:r>
      <w:r>
        <w:rPr>
          <w:spacing w:val="-5"/>
        </w:rPr>
        <w:t> </w:t>
      </w:r>
      <w:r>
        <w:rPr>
          <w:spacing w:val="-2"/>
        </w:rPr>
        <w:t>diolah.</w:t>
      </w:r>
    </w:p>
    <w:p>
      <w:pPr>
        <w:pStyle w:val="BodyText"/>
        <w:spacing w:before="158"/>
        <w:jc w:val="left"/>
      </w:pPr>
    </w:p>
    <w:p>
      <w:pPr>
        <w:pStyle w:val="ListParagraph"/>
        <w:numPr>
          <w:ilvl w:val="0"/>
          <w:numId w:val="13"/>
        </w:numPr>
        <w:tabs>
          <w:tab w:pos="2005" w:val="left" w:leader="none"/>
        </w:tabs>
        <w:spacing w:line="240" w:lineRule="auto" w:before="1" w:after="0"/>
        <w:ind w:left="2005" w:right="0" w:hanging="301"/>
        <w:jc w:val="both"/>
        <w:rPr>
          <w:sz w:val="24"/>
        </w:rPr>
      </w:pPr>
      <w:r>
        <w:rPr>
          <w:sz w:val="24"/>
        </w:rPr>
        <w:t>Retribusi</w:t>
      </w:r>
      <w:r>
        <w:rPr>
          <w:spacing w:val="-9"/>
          <w:sz w:val="24"/>
        </w:rPr>
        <w:t> </w:t>
      </w:r>
      <w:r>
        <w:rPr>
          <w:sz w:val="24"/>
        </w:rPr>
        <w:t>Jasa</w:t>
      </w:r>
      <w:r>
        <w:rPr>
          <w:spacing w:val="-5"/>
          <w:sz w:val="24"/>
        </w:rPr>
        <w:t> </w:t>
      </w:r>
      <w:r>
        <w:rPr>
          <w:spacing w:val="-2"/>
          <w:sz w:val="24"/>
        </w:rPr>
        <w:t>Usaha,</w:t>
      </w:r>
    </w:p>
    <w:p>
      <w:pPr>
        <w:pStyle w:val="ListParagraph"/>
        <w:numPr>
          <w:ilvl w:val="1"/>
          <w:numId w:val="13"/>
        </w:numPr>
        <w:tabs>
          <w:tab w:pos="2408" w:val="left" w:leader="none"/>
          <w:tab w:pos="2410" w:val="left" w:leader="none"/>
        </w:tabs>
        <w:spacing w:line="360" w:lineRule="auto" w:before="160" w:after="0"/>
        <w:ind w:left="2410" w:right="705" w:hanging="423"/>
        <w:jc w:val="both"/>
        <w:rPr>
          <w:sz w:val="24"/>
        </w:rPr>
      </w:pPr>
      <w:r>
        <w:rPr>
          <w:sz w:val="24"/>
        </w:rPr>
        <w:t>Retribusi Jasa Usaha bersifat bukan pajak dan bersifat bukan Retribusi Jasa Umum atau Retribusi Perizinan Tertentu; dan</w:t>
      </w:r>
    </w:p>
    <w:p>
      <w:pPr>
        <w:pStyle w:val="ListParagraph"/>
        <w:spacing w:after="0" w:line="360" w:lineRule="auto"/>
        <w:jc w:val="both"/>
        <w:rPr>
          <w:sz w:val="24"/>
        </w:rPr>
        <w:sectPr>
          <w:pgSz w:w="11910" w:h="16840"/>
          <w:pgMar w:header="0" w:footer="1186" w:top="1620" w:bottom="1380" w:left="1700" w:right="992"/>
        </w:sectPr>
      </w:pPr>
    </w:p>
    <w:p>
      <w:pPr>
        <w:pStyle w:val="ListParagraph"/>
        <w:numPr>
          <w:ilvl w:val="1"/>
          <w:numId w:val="13"/>
        </w:numPr>
        <w:tabs>
          <w:tab w:pos="2410" w:val="left" w:leader="none"/>
        </w:tabs>
        <w:spacing w:line="360" w:lineRule="auto" w:before="82" w:after="0"/>
        <w:ind w:left="2410" w:right="704" w:hanging="423"/>
        <w:jc w:val="both"/>
        <w:rPr>
          <w:sz w:val="24"/>
        </w:rPr>
      </w:pPr>
      <w:r>
        <w:rPr>
          <w:sz w:val="24"/>
        </w:rPr>
        <w:t>Jasa yang bersangkutan adalah jasa yang bersifat komersial yang seyogianya disediakan oleh sektor swasta tetapi belum memadai atau terdapatnya harta yang dimiliki/dikuasai</w:t>
      </w:r>
      <w:r>
        <w:rPr>
          <w:spacing w:val="-5"/>
          <w:sz w:val="24"/>
        </w:rPr>
        <w:t> </w:t>
      </w:r>
      <w:r>
        <w:rPr>
          <w:sz w:val="24"/>
        </w:rPr>
        <w:t>Daerah</w:t>
      </w:r>
      <w:r>
        <w:rPr>
          <w:spacing w:val="-6"/>
          <w:sz w:val="24"/>
        </w:rPr>
        <w:t> </w:t>
      </w:r>
      <w:r>
        <w:rPr>
          <w:sz w:val="24"/>
        </w:rPr>
        <w:t>yang</w:t>
      </w:r>
      <w:r>
        <w:rPr>
          <w:spacing w:val="-7"/>
          <w:sz w:val="24"/>
        </w:rPr>
        <w:t> </w:t>
      </w:r>
      <w:r>
        <w:rPr>
          <w:sz w:val="24"/>
        </w:rPr>
        <w:t>belum</w:t>
      </w:r>
      <w:r>
        <w:rPr>
          <w:spacing w:val="-2"/>
          <w:sz w:val="24"/>
        </w:rPr>
        <w:t> </w:t>
      </w:r>
      <w:r>
        <w:rPr>
          <w:sz w:val="24"/>
        </w:rPr>
        <w:t>dimanfaatkan</w:t>
      </w:r>
      <w:r>
        <w:rPr>
          <w:spacing w:val="-6"/>
          <w:sz w:val="24"/>
        </w:rPr>
        <w:t> </w:t>
      </w:r>
      <w:r>
        <w:rPr>
          <w:sz w:val="24"/>
        </w:rPr>
        <w:t>secara penuh oleh Pemerintah Daerah.</w:t>
      </w:r>
    </w:p>
    <w:p>
      <w:pPr>
        <w:pStyle w:val="ListParagraph"/>
        <w:numPr>
          <w:ilvl w:val="0"/>
          <w:numId w:val="13"/>
        </w:numPr>
        <w:tabs>
          <w:tab w:pos="2005" w:val="left" w:leader="none"/>
        </w:tabs>
        <w:spacing w:line="240" w:lineRule="auto" w:before="2" w:after="0"/>
        <w:ind w:left="2005" w:right="0" w:hanging="301"/>
        <w:jc w:val="both"/>
        <w:rPr>
          <w:sz w:val="24"/>
        </w:rPr>
      </w:pPr>
      <w:r>
        <w:rPr>
          <w:sz w:val="24"/>
        </w:rPr>
        <w:t>Retribusi</w:t>
      </w:r>
      <w:r>
        <w:rPr>
          <w:spacing w:val="-11"/>
          <w:sz w:val="24"/>
        </w:rPr>
        <w:t> </w:t>
      </w:r>
      <w:r>
        <w:rPr>
          <w:sz w:val="24"/>
        </w:rPr>
        <w:t>Perizinan</w:t>
      </w:r>
      <w:r>
        <w:rPr>
          <w:spacing w:val="-6"/>
          <w:sz w:val="24"/>
        </w:rPr>
        <w:t> </w:t>
      </w:r>
      <w:r>
        <w:rPr>
          <w:spacing w:val="-2"/>
          <w:sz w:val="24"/>
        </w:rPr>
        <w:t>Tertentu,</w:t>
      </w:r>
    </w:p>
    <w:p>
      <w:pPr>
        <w:pStyle w:val="ListParagraph"/>
        <w:numPr>
          <w:ilvl w:val="1"/>
          <w:numId w:val="13"/>
        </w:numPr>
        <w:tabs>
          <w:tab w:pos="2408" w:val="left" w:leader="none"/>
          <w:tab w:pos="2410" w:val="left" w:leader="none"/>
        </w:tabs>
        <w:spacing w:line="360" w:lineRule="auto" w:before="161" w:after="0"/>
        <w:ind w:left="2410" w:right="705" w:hanging="423"/>
        <w:jc w:val="both"/>
        <w:rPr>
          <w:sz w:val="24"/>
        </w:rPr>
      </w:pPr>
      <w:r>
        <w:rPr>
          <w:sz w:val="24"/>
        </w:rPr>
        <w:t>Perizinan tersebut termasuk kewenangan pemerintahan yang diserahkan kepada Daerah dalam rangka asas </w:t>
      </w:r>
      <w:r>
        <w:rPr>
          <w:spacing w:val="-2"/>
          <w:sz w:val="24"/>
        </w:rPr>
        <w:t>desentralisasi;</w:t>
      </w:r>
    </w:p>
    <w:p>
      <w:pPr>
        <w:pStyle w:val="ListParagraph"/>
        <w:numPr>
          <w:ilvl w:val="1"/>
          <w:numId w:val="13"/>
        </w:numPr>
        <w:tabs>
          <w:tab w:pos="2410" w:val="left" w:leader="none"/>
        </w:tabs>
        <w:spacing w:line="357" w:lineRule="auto" w:before="4" w:after="0"/>
        <w:ind w:left="2410" w:right="699" w:hanging="423"/>
        <w:jc w:val="both"/>
        <w:rPr>
          <w:sz w:val="24"/>
        </w:rPr>
      </w:pPr>
      <w:r>
        <w:rPr>
          <w:sz w:val="24"/>
        </w:rPr>
        <w:t>Perizinan tersebut benar-benar diperlukan guna melindungi kepentingan umum; dan</w:t>
      </w:r>
    </w:p>
    <w:p>
      <w:pPr>
        <w:pStyle w:val="ListParagraph"/>
        <w:numPr>
          <w:ilvl w:val="1"/>
          <w:numId w:val="13"/>
        </w:numPr>
        <w:tabs>
          <w:tab w:pos="2407" w:val="left" w:leader="none"/>
          <w:tab w:pos="2410" w:val="left" w:leader="none"/>
        </w:tabs>
        <w:spacing w:line="360" w:lineRule="auto" w:before="4" w:after="0"/>
        <w:ind w:left="2410" w:right="700" w:hanging="423"/>
        <w:jc w:val="both"/>
        <w:rPr>
          <w:sz w:val="24"/>
        </w:rPr>
      </w:pPr>
      <w:r>
        <w:rPr>
          <w:sz w:val="24"/>
        </w:rPr>
        <w:t>Biaya yang menjadi beban Daerah dalam penyelenggaraan izin tersebut dan biaya untuk menanggulangi dampak negatif dari pemberian izin tersebut</w:t>
      </w:r>
      <w:r>
        <w:rPr>
          <w:spacing w:val="-17"/>
          <w:sz w:val="24"/>
        </w:rPr>
        <w:t> </w:t>
      </w:r>
      <w:r>
        <w:rPr>
          <w:sz w:val="24"/>
        </w:rPr>
        <w:t>cukup</w:t>
      </w:r>
      <w:r>
        <w:rPr>
          <w:spacing w:val="-16"/>
          <w:sz w:val="24"/>
        </w:rPr>
        <w:t> </w:t>
      </w:r>
      <w:r>
        <w:rPr>
          <w:sz w:val="24"/>
        </w:rPr>
        <w:t>besar</w:t>
      </w:r>
      <w:r>
        <w:rPr>
          <w:spacing w:val="-17"/>
          <w:sz w:val="24"/>
        </w:rPr>
        <w:t> </w:t>
      </w:r>
      <w:r>
        <w:rPr>
          <w:sz w:val="24"/>
        </w:rPr>
        <w:t>sehingga</w:t>
      </w:r>
      <w:r>
        <w:rPr>
          <w:spacing w:val="-16"/>
          <w:sz w:val="24"/>
        </w:rPr>
        <w:t> </w:t>
      </w:r>
      <w:r>
        <w:rPr>
          <w:sz w:val="24"/>
        </w:rPr>
        <w:t>layak</w:t>
      </w:r>
      <w:r>
        <w:rPr>
          <w:spacing w:val="-17"/>
          <w:sz w:val="24"/>
        </w:rPr>
        <w:t> </w:t>
      </w:r>
      <w:r>
        <w:rPr>
          <w:sz w:val="24"/>
        </w:rPr>
        <w:t>dibiayai</w:t>
      </w:r>
      <w:r>
        <w:rPr>
          <w:spacing w:val="-16"/>
          <w:sz w:val="24"/>
        </w:rPr>
        <w:t> </w:t>
      </w:r>
      <w:r>
        <w:rPr>
          <w:sz w:val="24"/>
        </w:rPr>
        <w:t>dari</w:t>
      </w:r>
      <w:r>
        <w:rPr>
          <w:spacing w:val="-17"/>
          <w:sz w:val="24"/>
        </w:rPr>
        <w:t> </w:t>
      </w:r>
      <w:r>
        <w:rPr>
          <w:sz w:val="24"/>
        </w:rPr>
        <w:t>Retribusi </w:t>
      </w:r>
      <w:r>
        <w:rPr>
          <w:spacing w:val="-2"/>
          <w:sz w:val="24"/>
        </w:rPr>
        <w:t>perizinan.</w:t>
      </w:r>
    </w:p>
    <w:p>
      <w:pPr>
        <w:pStyle w:val="BodyText"/>
        <w:spacing w:before="157"/>
        <w:jc w:val="left"/>
      </w:pPr>
    </w:p>
    <w:p>
      <w:pPr>
        <w:pStyle w:val="Heading2"/>
        <w:numPr>
          <w:ilvl w:val="0"/>
          <w:numId w:val="17"/>
        </w:numPr>
        <w:tabs>
          <w:tab w:pos="1847" w:val="left" w:leader="none"/>
        </w:tabs>
        <w:spacing w:line="240" w:lineRule="auto" w:before="1" w:after="0"/>
        <w:ind w:left="1847" w:right="0" w:hanging="359"/>
        <w:jc w:val="both"/>
      </w:pPr>
      <w:r>
        <w:rPr/>
        <w:t>Hasil</w:t>
      </w:r>
      <w:r>
        <w:rPr>
          <w:spacing w:val="-13"/>
        </w:rPr>
        <w:t> </w:t>
      </w:r>
      <w:r>
        <w:rPr/>
        <w:t>Pengelolaan</w:t>
      </w:r>
      <w:r>
        <w:rPr>
          <w:spacing w:val="-8"/>
        </w:rPr>
        <w:t> </w:t>
      </w:r>
      <w:r>
        <w:rPr/>
        <w:t>Kekayaan</w:t>
      </w:r>
      <w:r>
        <w:rPr>
          <w:spacing w:val="-9"/>
        </w:rPr>
        <w:t> </w:t>
      </w:r>
      <w:r>
        <w:rPr/>
        <w:t>Daerah</w:t>
      </w:r>
      <w:r>
        <w:rPr>
          <w:spacing w:val="-7"/>
        </w:rPr>
        <w:t> </w:t>
      </w:r>
      <w:r>
        <w:rPr/>
        <w:t>yang</w:t>
      </w:r>
      <w:r>
        <w:rPr>
          <w:spacing w:val="-12"/>
        </w:rPr>
        <w:t> </w:t>
      </w:r>
      <w:r>
        <w:rPr>
          <w:spacing w:val="-2"/>
        </w:rPr>
        <w:t>dipisahkan</w:t>
      </w:r>
    </w:p>
    <w:p>
      <w:pPr>
        <w:pStyle w:val="BodyText"/>
        <w:spacing w:line="360" w:lineRule="auto" w:before="151"/>
        <w:ind w:left="1843" w:right="705"/>
      </w:pPr>
      <w:r>
        <w:rPr/>
        <w:t>Hasil pengelolaan kekayaan milik daerah yang dipisahkan merupakan penerimaan daerah yang berasal dari pengelolaan kekayaan daerah yang dipisahkan. Jenis pendapatan ini dirinci menurut objek pendapatan yang mencakup : (a) bagian laba atas penyertaan modal pada perusahaan milik daerah/BUMD;</w:t>
      </w:r>
    </w:p>
    <w:p>
      <w:pPr>
        <w:pStyle w:val="BodyText"/>
        <w:spacing w:line="360" w:lineRule="auto" w:before="2"/>
        <w:ind w:left="1843" w:right="704"/>
      </w:pPr>
      <w:r>
        <w:rPr/>
        <w:t>(b) bagianlaba atas penyertaan modal pada perusahaan milik Negara/BUMN;</w:t>
      </w:r>
      <w:r>
        <w:rPr>
          <w:spacing w:val="-17"/>
        </w:rPr>
        <w:t> </w:t>
      </w:r>
      <w:r>
        <w:rPr/>
        <w:t>dan</w:t>
      </w:r>
      <w:r>
        <w:rPr>
          <w:spacing w:val="-16"/>
        </w:rPr>
        <w:t> </w:t>
      </w:r>
      <w:r>
        <w:rPr/>
        <w:t>(c)</w:t>
      </w:r>
      <w:r>
        <w:rPr>
          <w:spacing w:val="-17"/>
        </w:rPr>
        <w:t> </w:t>
      </w:r>
      <w:r>
        <w:rPr/>
        <w:t>bagian</w:t>
      </w:r>
      <w:r>
        <w:rPr>
          <w:spacing w:val="-16"/>
        </w:rPr>
        <w:t> </w:t>
      </w:r>
      <w:r>
        <w:rPr/>
        <w:t>laba</w:t>
      </w:r>
      <w:r>
        <w:rPr>
          <w:spacing w:val="-17"/>
        </w:rPr>
        <w:t> </w:t>
      </w:r>
      <w:r>
        <w:rPr/>
        <w:t>atas</w:t>
      </w:r>
      <w:r>
        <w:rPr>
          <w:spacing w:val="-16"/>
        </w:rPr>
        <w:t> </w:t>
      </w:r>
      <w:r>
        <w:rPr/>
        <w:t>penyertaan</w:t>
      </w:r>
      <w:r>
        <w:rPr>
          <w:spacing w:val="-17"/>
        </w:rPr>
        <w:t> </w:t>
      </w:r>
      <w:r>
        <w:rPr/>
        <w:t>modal</w:t>
      </w:r>
      <w:r>
        <w:rPr>
          <w:spacing w:val="-16"/>
        </w:rPr>
        <w:t> </w:t>
      </w:r>
      <w:r>
        <w:rPr/>
        <w:t>pada perusahaan milik swasta/kelompok</w:t>
      </w:r>
    </w:p>
    <w:p>
      <w:pPr>
        <w:pStyle w:val="BodyText"/>
        <w:spacing w:after="0" w:line="360" w:lineRule="auto"/>
        <w:sectPr>
          <w:pgSz w:w="11910" w:h="16840"/>
          <w:pgMar w:header="0" w:footer="1186" w:top="1580" w:bottom="1380" w:left="1700" w:right="992"/>
        </w:sectPr>
      </w:pPr>
    </w:p>
    <w:p>
      <w:pPr>
        <w:pStyle w:val="Heading2"/>
        <w:numPr>
          <w:ilvl w:val="0"/>
          <w:numId w:val="17"/>
        </w:numPr>
        <w:tabs>
          <w:tab w:pos="1842" w:val="left" w:leader="none"/>
        </w:tabs>
        <w:spacing w:line="240" w:lineRule="auto" w:before="82" w:after="0"/>
        <w:ind w:left="1842" w:right="0" w:hanging="277"/>
        <w:jc w:val="both"/>
      </w:pPr>
      <w:r>
        <w:rPr/>
        <w:t>Lain-Lain</w:t>
      </w:r>
      <w:r>
        <w:rPr>
          <w:spacing w:val="-9"/>
        </w:rPr>
        <w:t> </w:t>
      </w:r>
      <w:r>
        <w:rPr/>
        <w:t>PAD</w:t>
      </w:r>
      <w:r>
        <w:rPr>
          <w:spacing w:val="-1"/>
        </w:rPr>
        <w:t> </w:t>
      </w:r>
      <w:r>
        <w:rPr/>
        <w:t>yang</w:t>
      </w:r>
      <w:r>
        <w:rPr>
          <w:spacing w:val="-4"/>
        </w:rPr>
        <w:t> </w:t>
      </w:r>
      <w:r>
        <w:rPr>
          <w:spacing w:val="-5"/>
        </w:rPr>
        <w:t>Sah</w:t>
      </w:r>
    </w:p>
    <w:p>
      <w:pPr>
        <w:pStyle w:val="BodyText"/>
        <w:spacing w:line="360" w:lineRule="auto" w:before="156"/>
        <w:ind w:left="1848" w:right="701"/>
      </w:pPr>
      <w:r>
        <w:rPr/>
        <w:t>Pendapatan daerah dari sumber Lain-Lain PAD yang Sah ini merupakan</w:t>
      </w:r>
      <w:r>
        <w:rPr>
          <w:spacing w:val="-2"/>
        </w:rPr>
        <w:t> </w:t>
      </w:r>
      <w:r>
        <w:rPr/>
        <w:t>penerimaan</w:t>
      </w:r>
      <w:r>
        <w:rPr>
          <w:spacing w:val="-6"/>
        </w:rPr>
        <w:t> </w:t>
      </w:r>
      <w:r>
        <w:rPr/>
        <w:t>daerah</w:t>
      </w:r>
      <w:r>
        <w:rPr>
          <w:spacing w:val="-6"/>
        </w:rPr>
        <w:t> </w:t>
      </w:r>
      <w:r>
        <w:rPr/>
        <w:t>yang</w:t>
      </w:r>
      <w:r>
        <w:rPr>
          <w:spacing w:val="-6"/>
        </w:rPr>
        <w:t> </w:t>
      </w:r>
      <w:r>
        <w:rPr/>
        <w:t>berasal</w:t>
      </w:r>
      <w:r>
        <w:rPr>
          <w:spacing w:val="-1"/>
        </w:rPr>
        <w:t> </w:t>
      </w:r>
      <w:r>
        <w:rPr/>
        <w:t>dari</w:t>
      </w:r>
      <w:r>
        <w:rPr>
          <w:spacing w:val="-5"/>
        </w:rPr>
        <w:t> </w:t>
      </w:r>
      <w:r>
        <w:rPr/>
        <w:t>lain-lain</w:t>
      </w:r>
      <w:r>
        <w:rPr>
          <w:spacing w:val="-6"/>
        </w:rPr>
        <w:t> </w:t>
      </w:r>
      <w:r>
        <w:rPr/>
        <w:t>milik pemerintah daerah. Rekening ini disediakan untuk mengakuntansikan penerimaan daerah selain yang disebut diatas.</w:t>
      </w:r>
      <w:r>
        <w:rPr>
          <w:spacing w:val="-9"/>
        </w:rPr>
        <w:t> </w:t>
      </w:r>
      <w:r>
        <w:rPr/>
        <w:t>Jenis</w:t>
      </w:r>
      <w:r>
        <w:rPr>
          <w:spacing w:val="-11"/>
        </w:rPr>
        <w:t> </w:t>
      </w:r>
      <w:r>
        <w:rPr/>
        <w:t>pendapatan</w:t>
      </w:r>
      <w:r>
        <w:rPr>
          <w:spacing w:val="-10"/>
        </w:rPr>
        <w:t> </w:t>
      </w:r>
      <w:r>
        <w:rPr/>
        <w:t>ini</w:t>
      </w:r>
      <w:r>
        <w:rPr>
          <w:spacing w:val="-10"/>
        </w:rPr>
        <w:t> </w:t>
      </w:r>
      <w:r>
        <w:rPr/>
        <w:t>meliputi</w:t>
      </w:r>
      <w:r>
        <w:rPr>
          <w:spacing w:val="-9"/>
        </w:rPr>
        <w:t> </w:t>
      </w:r>
      <w:r>
        <w:rPr/>
        <w:t>objek</w:t>
      </w:r>
      <w:r>
        <w:rPr>
          <w:spacing w:val="-9"/>
        </w:rPr>
        <w:t> </w:t>
      </w:r>
      <w:r>
        <w:rPr/>
        <w:t>pendapatan</w:t>
      </w:r>
      <w:r>
        <w:rPr>
          <w:spacing w:val="-10"/>
        </w:rPr>
        <w:t> </w:t>
      </w:r>
      <w:r>
        <w:rPr/>
        <w:t>sebagai berikut : a. hasil penjualan asset daerah yang tidak dipisahkan</w:t>
      </w:r>
    </w:p>
    <w:p>
      <w:pPr>
        <w:pStyle w:val="BodyText"/>
        <w:spacing w:line="360" w:lineRule="auto"/>
        <w:ind w:left="1848" w:right="699"/>
      </w:pPr>
      <w:r>
        <w:rPr/>
        <w:t>b. jasa giro c. pendapatan bunga d. penerimaan atas tuntutan ganti</w:t>
      </w:r>
      <w:r>
        <w:rPr>
          <w:spacing w:val="-16"/>
        </w:rPr>
        <w:t> </w:t>
      </w:r>
      <w:r>
        <w:rPr/>
        <w:t>kerugian</w:t>
      </w:r>
      <w:r>
        <w:rPr>
          <w:spacing w:val="-16"/>
        </w:rPr>
        <w:t> </w:t>
      </w:r>
      <w:r>
        <w:rPr/>
        <w:t>daerah</w:t>
      </w:r>
      <w:r>
        <w:rPr>
          <w:spacing w:val="-16"/>
        </w:rPr>
        <w:t> </w:t>
      </w:r>
      <w:r>
        <w:rPr/>
        <w:t>e.</w:t>
      </w:r>
      <w:r>
        <w:rPr>
          <w:spacing w:val="-15"/>
        </w:rPr>
        <w:t> </w:t>
      </w:r>
      <w:r>
        <w:rPr/>
        <w:t>penerimaan</w:t>
      </w:r>
      <w:r>
        <w:rPr>
          <w:spacing w:val="-16"/>
        </w:rPr>
        <w:t> </w:t>
      </w:r>
      <w:r>
        <w:rPr/>
        <w:t>komisi,</w:t>
      </w:r>
      <w:r>
        <w:rPr>
          <w:spacing w:val="-15"/>
        </w:rPr>
        <w:t> </w:t>
      </w:r>
      <w:r>
        <w:rPr/>
        <w:t>potongan,ataupun bentuk lain sebagai akibat dari penjualan, pengadaan barang dan jasa oleh daerah f. penerimaan keuangan dari selisih</w:t>
      </w:r>
      <w:r>
        <w:rPr>
          <w:spacing w:val="-17"/>
        </w:rPr>
        <w:t> </w:t>
      </w:r>
      <w:r>
        <w:rPr/>
        <w:t>nilai tukar rupiah terhadap mata uang asing. g. Pendapatan denda atas keterlambatan pelaksanaan pekerjaan h. Pendapatan denda pajak i. Pendapatan denda retribusi j. Pendapatan eksekusi atas jaminan k. Pendapatan dari pengembalian l. Fasilitas</w:t>
      </w:r>
      <w:r>
        <w:rPr>
          <w:spacing w:val="-13"/>
        </w:rPr>
        <w:t> </w:t>
      </w:r>
      <w:r>
        <w:rPr/>
        <w:t>sosial</w:t>
      </w:r>
      <w:r>
        <w:rPr>
          <w:spacing w:val="-12"/>
        </w:rPr>
        <w:t> </w:t>
      </w:r>
      <w:r>
        <w:rPr/>
        <w:t>dan</w:t>
      </w:r>
      <w:r>
        <w:rPr>
          <w:spacing w:val="-13"/>
        </w:rPr>
        <w:t> </w:t>
      </w:r>
      <w:r>
        <w:rPr/>
        <w:t>umum</w:t>
      </w:r>
      <w:r>
        <w:rPr>
          <w:spacing w:val="-12"/>
        </w:rPr>
        <w:t> </w:t>
      </w:r>
      <w:r>
        <w:rPr/>
        <w:t>m.</w:t>
      </w:r>
      <w:r>
        <w:rPr>
          <w:spacing w:val="-11"/>
        </w:rPr>
        <w:t> </w:t>
      </w:r>
      <w:r>
        <w:rPr/>
        <w:t>Pendapatan</w:t>
      </w:r>
      <w:r>
        <w:rPr>
          <w:spacing w:val="-13"/>
        </w:rPr>
        <w:t> </w:t>
      </w:r>
      <w:r>
        <w:rPr/>
        <w:t>dari</w:t>
      </w:r>
      <w:r>
        <w:rPr>
          <w:spacing w:val="-6"/>
        </w:rPr>
        <w:t> </w:t>
      </w:r>
      <w:r>
        <w:rPr/>
        <w:t>penyelenggaraan pendidikan dan pelatihan n. Pendapatan darianggaran/cicilan </w:t>
      </w:r>
      <w:r>
        <w:rPr>
          <w:spacing w:val="-2"/>
        </w:rPr>
        <w:t>penjualan.</w:t>
      </w:r>
    </w:p>
    <w:p>
      <w:pPr>
        <w:pStyle w:val="BodyText"/>
        <w:jc w:val="left"/>
      </w:pPr>
    </w:p>
    <w:p>
      <w:pPr>
        <w:pStyle w:val="BodyText"/>
        <w:spacing w:before="80"/>
        <w:jc w:val="left"/>
      </w:pPr>
    </w:p>
    <w:p>
      <w:pPr>
        <w:pStyle w:val="Heading2"/>
        <w:numPr>
          <w:ilvl w:val="4"/>
          <w:numId w:val="7"/>
        </w:numPr>
        <w:tabs>
          <w:tab w:pos="1523" w:val="left" w:leader="none"/>
        </w:tabs>
        <w:spacing w:line="240" w:lineRule="auto" w:before="0" w:after="0"/>
        <w:ind w:left="1523" w:right="0" w:hanging="607"/>
        <w:jc w:val="both"/>
      </w:pPr>
      <w:bookmarkStart w:name="_bookmark15" w:id="16"/>
      <w:bookmarkEnd w:id="16"/>
      <w:r>
        <w:rPr>
          <w:b w:val="0"/>
        </w:rPr>
      </w:r>
      <w:r>
        <w:rPr/>
        <w:t>Transfer</w:t>
      </w:r>
      <w:r>
        <w:rPr>
          <w:spacing w:val="-6"/>
        </w:rPr>
        <w:t> </w:t>
      </w:r>
      <w:r>
        <w:rPr/>
        <w:t>Ke</w:t>
      </w:r>
      <w:r>
        <w:rPr>
          <w:spacing w:val="-4"/>
        </w:rPr>
        <w:t> </w:t>
      </w:r>
      <w:r>
        <w:rPr>
          <w:spacing w:val="-2"/>
        </w:rPr>
        <w:t>Daerah</w:t>
      </w:r>
    </w:p>
    <w:p>
      <w:pPr>
        <w:pStyle w:val="BodyText"/>
        <w:spacing w:before="61"/>
        <w:ind w:left="1843"/>
      </w:pPr>
      <w:r>
        <w:rPr/>
        <w:t>Transfer</w:t>
      </w:r>
      <w:r>
        <w:rPr>
          <w:spacing w:val="8"/>
        </w:rPr>
        <w:t> </w:t>
      </w:r>
      <w:r>
        <w:rPr/>
        <w:t>ke</w:t>
      </w:r>
      <w:r>
        <w:rPr>
          <w:spacing w:val="10"/>
        </w:rPr>
        <w:t> </w:t>
      </w:r>
      <w:r>
        <w:rPr/>
        <w:t>daerah</w:t>
      </w:r>
      <w:r>
        <w:rPr>
          <w:spacing w:val="9"/>
        </w:rPr>
        <w:t> </w:t>
      </w:r>
      <w:r>
        <w:rPr/>
        <w:t>disebutkan</w:t>
      </w:r>
      <w:r>
        <w:rPr>
          <w:spacing w:val="11"/>
        </w:rPr>
        <w:t> </w:t>
      </w:r>
      <w:r>
        <w:rPr/>
        <w:t>dalam</w:t>
      </w:r>
      <w:r>
        <w:rPr>
          <w:spacing w:val="11"/>
        </w:rPr>
        <w:t> </w:t>
      </w:r>
      <w:r>
        <w:rPr/>
        <w:t>ketentuan</w:t>
      </w:r>
      <w:r>
        <w:rPr>
          <w:spacing w:val="10"/>
        </w:rPr>
        <w:t> </w:t>
      </w:r>
      <w:r>
        <w:rPr/>
        <w:t>Pasal</w:t>
      </w:r>
      <w:r>
        <w:rPr>
          <w:spacing w:val="10"/>
        </w:rPr>
        <w:t> </w:t>
      </w:r>
      <w:r>
        <w:rPr/>
        <w:t>1</w:t>
      </w:r>
      <w:r>
        <w:rPr>
          <w:spacing w:val="12"/>
        </w:rPr>
        <w:t> </w:t>
      </w:r>
      <w:r>
        <w:rPr>
          <w:spacing w:val="-2"/>
        </w:rPr>
        <w:t>angka</w:t>
      </w:r>
    </w:p>
    <w:p>
      <w:pPr>
        <w:pStyle w:val="BodyText"/>
        <w:spacing w:line="360" w:lineRule="auto" w:before="161"/>
        <w:ind w:left="1421" w:right="699"/>
      </w:pPr>
      <w:r>
        <w:rPr/>
        <w:t>69 Undang-Undang Nomor 1 Tahun 2022 tentang Hubungan Keuangan Antara Pemerintah Pusat dan Pemerintahan Daerah disebutkan bahwa transfer ke Daerah yang selanjutnya disingkat TKD</w:t>
      </w:r>
      <w:r>
        <w:rPr>
          <w:spacing w:val="-17"/>
        </w:rPr>
        <w:t> </w:t>
      </w:r>
      <w:r>
        <w:rPr/>
        <w:t>adalah</w:t>
      </w:r>
      <w:r>
        <w:rPr>
          <w:spacing w:val="-16"/>
        </w:rPr>
        <w:t> </w:t>
      </w:r>
      <w:r>
        <w:rPr/>
        <w:t>dana</w:t>
      </w:r>
      <w:r>
        <w:rPr>
          <w:spacing w:val="-17"/>
        </w:rPr>
        <w:t> </w:t>
      </w:r>
      <w:r>
        <w:rPr/>
        <w:t>yang</w:t>
      </w:r>
      <w:r>
        <w:rPr>
          <w:spacing w:val="-16"/>
        </w:rPr>
        <w:t> </w:t>
      </w:r>
      <w:r>
        <w:rPr/>
        <w:t>bersumber</w:t>
      </w:r>
      <w:r>
        <w:rPr>
          <w:spacing w:val="-17"/>
        </w:rPr>
        <w:t> </w:t>
      </w:r>
      <w:r>
        <w:rPr/>
        <w:t>dari</w:t>
      </w:r>
      <w:r>
        <w:rPr>
          <w:spacing w:val="-16"/>
        </w:rPr>
        <w:t> </w:t>
      </w:r>
      <w:r>
        <w:rPr/>
        <w:t>APBN</w:t>
      </w:r>
      <w:r>
        <w:rPr>
          <w:spacing w:val="-17"/>
        </w:rPr>
        <w:t> </w:t>
      </w:r>
      <w:r>
        <w:rPr/>
        <w:t>dan</w:t>
      </w:r>
      <w:r>
        <w:rPr>
          <w:spacing w:val="-16"/>
        </w:rPr>
        <w:t> </w:t>
      </w:r>
      <w:r>
        <w:rPr/>
        <w:t>merupakan</w:t>
      </w:r>
      <w:r>
        <w:rPr>
          <w:spacing w:val="-16"/>
        </w:rPr>
        <w:t> </w:t>
      </w:r>
      <w:r>
        <w:rPr/>
        <w:t>bagian dari belanja negara yang dialokasikan dan disalurkan kepada Daerah</w:t>
      </w:r>
      <w:r>
        <w:rPr>
          <w:spacing w:val="80"/>
        </w:rPr>
        <w:t> </w:t>
      </w:r>
      <w:r>
        <w:rPr/>
        <w:t>untuk</w:t>
      </w:r>
      <w:r>
        <w:rPr>
          <w:spacing w:val="80"/>
        </w:rPr>
        <w:t> </w:t>
      </w:r>
      <w:r>
        <w:rPr/>
        <w:t>dikelola</w:t>
      </w:r>
      <w:r>
        <w:rPr>
          <w:spacing w:val="80"/>
          <w:w w:val="150"/>
        </w:rPr>
        <w:t> </w:t>
      </w:r>
      <w:r>
        <w:rPr/>
        <w:t>oleh</w:t>
      </w:r>
      <w:r>
        <w:rPr>
          <w:spacing w:val="80"/>
        </w:rPr>
        <w:t> </w:t>
      </w:r>
      <w:r>
        <w:rPr/>
        <w:t>Daerah</w:t>
      </w:r>
      <w:r>
        <w:rPr>
          <w:spacing w:val="80"/>
        </w:rPr>
        <w:t> </w:t>
      </w:r>
      <w:r>
        <w:rPr/>
        <w:t>dalam</w:t>
      </w:r>
      <w:r>
        <w:rPr>
          <w:spacing w:val="80"/>
        </w:rPr>
        <w:t> </w:t>
      </w:r>
      <w:r>
        <w:rPr/>
        <w:t>rangka</w:t>
      </w:r>
      <w:r>
        <w:rPr>
          <w:spacing w:val="80"/>
        </w:rPr>
        <w:t> </w:t>
      </w:r>
      <w:r>
        <w:rPr/>
        <w:t>mendanai</w:t>
      </w:r>
    </w:p>
    <w:p>
      <w:pPr>
        <w:pStyle w:val="BodyText"/>
        <w:spacing w:after="0" w:line="360" w:lineRule="auto"/>
        <w:sectPr>
          <w:pgSz w:w="11910" w:h="16840"/>
          <w:pgMar w:header="0" w:footer="1186" w:top="1580" w:bottom="1380" w:left="1700" w:right="992"/>
        </w:sectPr>
      </w:pPr>
    </w:p>
    <w:p>
      <w:pPr>
        <w:pStyle w:val="BodyText"/>
        <w:spacing w:line="360" w:lineRule="auto" w:before="82"/>
        <w:ind w:left="1421" w:right="710"/>
      </w:pPr>
      <w:r>
        <w:rPr/>
        <w:t>penyelenggaraan</w:t>
      </w:r>
      <w:r>
        <w:rPr>
          <w:spacing w:val="-5"/>
        </w:rPr>
        <w:t> </w:t>
      </w:r>
      <w:r>
        <w:rPr/>
        <w:t>Urusan</w:t>
      </w:r>
      <w:r>
        <w:rPr>
          <w:spacing w:val="-5"/>
        </w:rPr>
        <w:t> </w:t>
      </w:r>
      <w:r>
        <w:rPr/>
        <w:t>Pemerintahan</w:t>
      </w:r>
      <w:r>
        <w:rPr>
          <w:spacing w:val="-5"/>
        </w:rPr>
        <w:t> </w:t>
      </w:r>
      <w:r>
        <w:rPr/>
        <w:t>yang</w:t>
      </w:r>
      <w:r>
        <w:rPr>
          <w:spacing w:val="-6"/>
        </w:rPr>
        <w:t> </w:t>
      </w:r>
      <w:r>
        <w:rPr/>
        <w:t>menjadi</w:t>
      </w:r>
      <w:r>
        <w:rPr>
          <w:spacing w:val="-4"/>
        </w:rPr>
        <w:t> </w:t>
      </w:r>
      <w:r>
        <w:rPr/>
        <w:t>kewenangan </w:t>
      </w:r>
      <w:r>
        <w:rPr>
          <w:spacing w:val="-2"/>
        </w:rPr>
        <w:t>Daerah.</w:t>
      </w:r>
    </w:p>
    <w:p>
      <w:pPr>
        <w:pStyle w:val="BodyText"/>
        <w:spacing w:line="360" w:lineRule="auto" w:before="3"/>
        <w:ind w:left="1421" w:right="705" w:firstLine="422"/>
      </w:pPr>
      <w:r>
        <w:rPr/>
        <w:t>Transfer ke Daerah meliputi Transfer Dana Perimbangan dan Transfer Dana Otonomi Khusus dan Penyesuaian. Transfer Dana Perimbangan meliputi: (1) Transfer Dana Bagi Hasil; (2) Transfer Dana Alokasi Umum; dan (3)</w:t>
      </w:r>
      <w:r>
        <w:rPr>
          <w:spacing w:val="40"/>
        </w:rPr>
        <w:t> </w:t>
      </w:r>
      <w:r>
        <w:rPr/>
        <w:t>Transfer Dana Alokasi Khusus.</w:t>
      </w:r>
    </w:p>
    <w:p>
      <w:pPr>
        <w:pStyle w:val="Heading2"/>
        <w:numPr>
          <w:ilvl w:val="0"/>
          <w:numId w:val="18"/>
        </w:numPr>
        <w:tabs>
          <w:tab w:pos="1847" w:val="left" w:leader="none"/>
        </w:tabs>
        <w:spacing w:line="240" w:lineRule="auto" w:before="0" w:after="0"/>
        <w:ind w:left="1847" w:right="0" w:hanging="359"/>
        <w:jc w:val="both"/>
      </w:pPr>
      <w:r>
        <w:rPr/>
        <w:t>Dana</w:t>
      </w:r>
      <w:r>
        <w:rPr>
          <w:spacing w:val="-10"/>
        </w:rPr>
        <w:t> </w:t>
      </w:r>
      <w:r>
        <w:rPr/>
        <w:t>Bagi</w:t>
      </w:r>
      <w:r>
        <w:rPr>
          <w:spacing w:val="-7"/>
        </w:rPr>
        <w:t> </w:t>
      </w:r>
      <w:r>
        <w:rPr/>
        <w:t>Hasil</w:t>
      </w:r>
      <w:r>
        <w:rPr>
          <w:spacing w:val="-9"/>
        </w:rPr>
        <w:t> </w:t>
      </w:r>
      <w:r>
        <w:rPr>
          <w:spacing w:val="-4"/>
        </w:rPr>
        <w:t>(DBH)</w:t>
      </w:r>
    </w:p>
    <w:p>
      <w:pPr>
        <w:pStyle w:val="BodyText"/>
        <w:spacing w:line="360" w:lineRule="auto" w:before="157"/>
        <w:ind w:left="1848" w:right="700"/>
      </w:pPr>
      <w:r>
        <w:rPr/>
        <w:t>Berdasarkan Ketentuan Umum Angka 70 UU Nomor 1 Tahun 2022 disebutkan bahwa Dana Bagi Hasil yang selanjutnya disingkat DBH adalah bagian dari TKD yang dialokasikan berdasarkan</w:t>
      </w:r>
      <w:r>
        <w:rPr>
          <w:spacing w:val="-2"/>
        </w:rPr>
        <w:t> </w:t>
      </w:r>
      <w:r>
        <w:rPr/>
        <w:t>persentase</w:t>
      </w:r>
      <w:r>
        <w:rPr>
          <w:spacing w:val="-1"/>
        </w:rPr>
        <w:t> </w:t>
      </w:r>
      <w:r>
        <w:rPr/>
        <w:t>atas</w:t>
      </w:r>
      <w:r>
        <w:rPr>
          <w:spacing w:val="-2"/>
        </w:rPr>
        <w:t> </w:t>
      </w:r>
      <w:r>
        <w:rPr/>
        <w:t>pendapatan</w:t>
      </w:r>
      <w:r>
        <w:rPr>
          <w:spacing w:val="-2"/>
        </w:rPr>
        <w:t> </w:t>
      </w:r>
      <w:r>
        <w:rPr/>
        <w:t>tertentu</w:t>
      </w:r>
      <w:r>
        <w:rPr>
          <w:spacing w:val="-2"/>
        </w:rPr>
        <w:t> </w:t>
      </w:r>
      <w:r>
        <w:rPr/>
        <w:t>dalam</w:t>
      </w:r>
      <w:r>
        <w:rPr>
          <w:spacing w:val="-1"/>
        </w:rPr>
        <w:t> </w:t>
      </w:r>
      <w:r>
        <w:rPr/>
        <w:t>APBN dan kinerja tertentu, yang dibagikan kepada Daerah penghasil dengan tujuan untuk mengurangi ketimpangan fiskal antara Pemerintah</w:t>
      </w:r>
      <w:r>
        <w:rPr>
          <w:spacing w:val="-14"/>
        </w:rPr>
        <w:t> </w:t>
      </w:r>
      <w:r>
        <w:rPr/>
        <w:t>dan</w:t>
      </w:r>
      <w:r>
        <w:rPr>
          <w:spacing w:val="-15"/>
        </w:rPr>
        <w:t> </w:t>
      </w:r>
      <w:r>
        <w:rPr/>
        <w:t>Daerah,</w:t>
      </w:r>
      <w:r>
        <w:rPr>
          <w:spacing w:val="-12"/>
        </w:rPr>
        <w:t> </w:t>
      </w:r>
      <w:r>
        <w:rPr/>
        <w:t>serta</w:t>
      </w:r>
      <w:r>
        <w:rPr>
          <w:spacing w:val="-16"/>
        </w:rPr>
        <w:t> </w:t>
      </w:r>
      <w:r>
        <w:rPr/>
        <w:t>kepada</w:t>
      </w:r>
      <w:r>
        <w:rPr>
          <w:spacing w:val="-15"/>
        </w:rPr>
        <w:t> </w:t>
      </w:r>
      <w:r>
        <w:rPr/>
        <w:t>Daerah</w:t>
      </w:r>
      <w:r>
        <w:rPr>
          <w:spacing w:val="-14"/>
        </w:rPr>
        <w:t> </w:t>
      </w:r>
      <w:r>
        <w:rPr/>
        <w:t>lain</w:t>
      </w:r>
      <w:r>
        <w:rPr>
          <w:spacing w:val="-16"/>
        </w:rPr>
        <w:t> </w:t>
      </w:r>
      <w:r>
        <w:rPr/>
        <w:t>nonpenghasil dalam rangka menanggulangi eksternalitas negatif dan/atau meningkatkan pemerataan dalam satu wilayah.</w:t>
      </w:r>
    </w:p>
    <w:p>
      <w:pPr>
        <w:pStyle w:val="BodyText"/>
        <w:spacing w:before="153"/>
        <w:jc w:val="left"/>
      </w:pPr>
    </w:p>
    <w:p>
      <w:pPr>
        <w:pStyle w:val="Heading2"/>
        <w:numPr>
          <w:ilvl w:val="0"/>
          <w:numId w:val="18"/>
        </w:numPr>
        <w:tabs>
          <w:tab w:pos="1847" w:val="left" w:leader="none"/>
        </w:tabs>
        <w:spacing w:line="240" w:lineRule="auto" w:before="0" w:after="0"/>
        <w:ind w:left="1847" w:right="0" w:hanging="359"/>
        <w:jc w:val="both"/>
      </w:pPr>
      <w:r>
        <w:rPr/>
        <w:t>Dana</w:t>
      </w:r>
      <w:r>
        <w:rPr>
          <w:spacing w:val="-7"/>
        </w:rPr>
        <w:t> </w:t>
      </w:r>
      <w:r>
        <w:rPr/>
        <w:t>Alokasi</w:t>
      </w:r>
      <w:r>
        <w:rPr>
          <w:spacing w:val="-7"/>
        </w:rPr>
        <w:t> </w:t>
      </w:r>
      <w:r>
        <w:rPr/>
        <w:t>Umum</w:t>
      </w:r>
      <w:r>
        <w:rPr>
          <w:spacing w:val="-5"/>
        </w:rPr>
        <w:t> </w:t>
      </w:r>
      <w:r>
        <w:rPr>
          <w:spacing w:val="-4"/>
        </w:rPr>
        <w:t>(DAU)</w:t>
      </w:r>
    </w:p>
    <w:p>
      <w:pPr>
        <w:pStyle w:val="BodyText"/>
        <w:spacing w:line="360" w:lineRule="auto" w:before="152"/>
        <w:ind w:left="1848" w:right="700"/>
      </w:pPr>
      <w:r>
        <w:rPr/>
        <w:t>Menurut Ketentuan Umum Angka 71 Undang-Undang Nomor 1 Tahun 2022, Dana Alokasi Umum yang selanjutnya disingkat DAU adalah bagian dari TKD yang dialokasikan dengan tujuan mengurangi ketimpangan kemampuan keuangan dan layanan publik antar-Daerah.</w:t>
      </w:r>
    </w:p>
    <w:p>
      <w:pPr>
        <w:pStyle w:val="BodyText"/>
        <w:spacing w:before="163"/>
        <w:jc w:val="left"/>
      </w:pPr>
    </w:p>
    <w:p>
      <w:pPr>
        <w:pStyle w:val="Heading2"/>
        <w:numPr>
          <w:ilvl w:val="0"/>
          <w:numId w:val="18"/>
        </w:numPr>
        <w:tabs>
          <w:tab w:pos="1847" w:val="left" w:leader="none"/>
        </w:tabs>
        <w:spacing w:line="240" w:lineRule="auto" w:before="0" w:after="0"/>
        <w:ind w:left="1847" w:right="0" w:hanging="359"/>
        <w:jc w:val="both"/>
      </w:pPr>
      <w:r>
        <w:rPr/>
        <w:t>Dana</w:t>
      </w:r>
      <w:r>
        <w:rPr>
          <w:spacing w:val="-8"/>
        </w:rPr>
        <w:t> </w:t>
      </w:r>
      <w:r>
        <w:rPr/>
        <w:t>Alokasi</w:t>
      </w:r>
      <w:r>
        <w:rPr>
          <w:spacing w:val="-8"/>
        </w:rPr>
        <w:t> </w:t>
      </w:r>
      <w:r>
        <w:rPr/>
        <w:t>Khusus</w:t>
      </w:r>
      <w:r>
        <w:rPr>
          <w:spacing w:val="-3"/>
        </w:rPr>
        <w:t> </w:t>
      </w:r>
      <w:r>
        <w:rPr>
          <w:spacing w:val="-2"/>
        </w:rPr>
        <w:t>(DAK)</w:t>
      </w:r>
    </w:p>
    <w:p>
      <w:pPr>
        <w:pStyle w:val="BodyText"/>
        <w:spacing w:line="360" w:lineRule="auto" w:before="156"/>
        <w:ind w:left="1848" w:right="710"/>
      </w:pPr>
      <w:r>
        <w:rPr/>
        <w:t>Pendapatan daerah yang bersumber dari Dana Alokasi Khusus yang selanjutnya disingkat DAK adalah bagian dari TKD yang dialokasikan</w:t>
      </w:r>
      <w:r>
        <w:rPr>
          <w:spacing w:val="-17"/>
        </w:rPr>
        <w:t> </w:t>
      </w:r>
      <w:r>
        <w:rPr/>
        <w:t>dengan</w:t>
      </w:r>
      <w:r>
        <w:rPr>
          <w:spacing w:val="-16"/>
        </w:rPr>
        <w:t> </w:t>
      </w:r>
      <w:r>
        <w:rPr/>
        <w:t>tujuan</w:t>
      </w:r>
      <w:r>
        <w:rPr>
          <w:spacing w:val="-17"/>
        </w:rPr>
        <w:t> </w:t>
      </w:r>
      <w:r>
        <w:rPr/>
        <w:t>untuk</w:t>
      </w:r>
      <w:r>
        <w:rPr>
          <w:spacing w:val="-16"/>
        </w:rPr>
        <w:t> </w:t>
      </w:r>
      <w:r>
        <w:rPr/>
        <w:t>mendanai</w:t>
      </w:r>
      <w:r>
        <w:rPr>
          <w:spacing w:val="-17"/>
        </w:rPr>
        <w:t> </w:t>
      </w:r>
      <w:r>
        <w:rPr/>
        <w:t>program,</w:t>
      </w:r>
      <w:r>
        <w:rPr>
          <w:spacing w:val="-16"/>
        </w:rPr>
        <w:t> </w:t>
      </w:r>
      <w:r>
        <w:rPr/>
        <w:t>kegiatan,</w:t>
      </w:r>
    </w:p>
    <w:p>
      <w:pPr>
        <w:pStyle w:val="BodyText"/>
        <w:spacing w:after="0" w:line="360" w:lineRule="auto"/>
        <w:sectPr>
          <w:pgSz w:w="11910" w:h="16840"/>
          <w:pgMar w:header="0" w:footer="1186" w:top="1580" w:bottom="1380" w:left="1700" w:right="992"/>
        </w:sectPr>
      </w:pPr>
    </w:p>
    <w:p>
      <w:pPr>
        <w:pStyle w:val="BodyText"/>
        <w:spacing w:line="360" w:lineRule="auto" w:before="82"/>
        <w:ind w:left="1848" w:right="699"/>
      </w:pPr>
      <w:r>
        <w:rPr/>
        <w:t>dan/atau</w:t>
      </w:r>
      <w:r>
        <w:rPr>
          <w:spacing w:val="-17"/>
        </w:rPr>
        <w:t> </w:t>
      </w:r>
      <w:r>
        <w:rPr/>
        <w:t>kebijakan</w:t>
      </w:r>
      <w:r>
        <w:rPr>
          <w:spacing w:val="-16"/>
        </w:rPr>
        <w:t> </w:t>
      </w:r>
      <w:r>
        <w:rPr/>
        <w:t>tertentu</w:t>
      </w:r>
      <w:r>
        <w:rPr>
          <w:spacing w:val="-17"/>
        </w:rPr>
        <w:t> </w:t>
      </w:r>
      <w:r>
        <w:rPr/>
        <w:t>yang</w:t>
      </w:r>
      <w:r>
        <w:rPr>
          <w:spacing w:val="-16"/>
        </w:rPr>
        <w:t> </w:t>
      </w:r>
      <w:r>
        <w:rPr/>
        <w:t>menjadi</w:t>
      </w:r>
      <w:r>
        <w:rPr>
          <w:spacing w:val="-17"/>
        </w:rPr>
        <w:t> </w:t>
      </w:r>
      <w:r>
        <w:rPr/>
        <w:t>prioritas</w:t>
      </w:r>
      <w:r>
        <w:rPr>
          <w:spacing w:val="-16"/>
        </w:rPr>
        <w:t> </w:t>
      </w:r>
      <w:r>
        <w:rPr/>
        <w:t>nasional</w:t>
      </w:r>
      <w:r>
        <w:rPr>
          <w:spacing w:val="-17"/>
        </w:rPr>
        <w:t> </w:t>
      </w:r>
      <w:r>
        <w:rPr/>
        <w:t>dan membantu operasionalisasi layanan publik, yang penggunaannya telah ditentukan oleh Pemerintah.</w:t>
      </w:r>
    </w:p>
    <w:p>
      <w:pPr>
        <w:pStyle w:val="Heading2"/>
        <w:numPr>
          <w:ilvl w:val="4"/>
          <w:numId w:val="7"/>
        </w:numPr>
        <w:tabs>
          <w:tab w:pos="1523" w:val="left" w:leader="none"/>
        </w:tabs>
        <w:spacing w:line="240" w:lineRule="auto" w:before="239" w:after="0"/>
        <w:ind w:left="1523" w:right="0" w:hanging="607"/>
        <w:jc w:val="both"/>
      </w:pPr>
      <w:bookmarkStart w:name="_bookmark16" w:id="17"/>
      <w:bookmarkEnd w:id="17"/>
      <w:r>
        <w:rPr>
          <w:b w:val="0"/>
        </w:rPr>
      </w:r>
      <w:r>
        <w:rPr/>
        <w:t>Lain-lain</w:t>
      </w:r>
      <w:r>
        <w:rPr>
          <w:spacing w:val="-11"/>
        </w:rPr>
        <w:t> </w:t>
      </w:r>
      <w:r>
        <w:rPr/>
        <w:t>Pendapatan</w:t>
      </w:r>
      <w:r>
        <w:rPr>
          <w:spacing w:val="-8"/>
        </w:rPr>
        <w:t> </w:t>
      </w:r>
      <w:r>
        <w:rPr/>
        <w:t>yang</w:t>
      </w:r>
      <w:r>
        <w:rPr>
          <w:spacing w:val="-8"/>
        </w:rPr>
        <w:t> </w:t>
      </w:r>
      <w:r>
        <w:rPr>
          <w:spacing w:val="-5"/>
        </w:rPr>
        <w:t>Sah</w:t>
      </w:r>
    </w:p>
    <w:p>
      <w:pPr>
        <w:pStyle w:val="BodyText"/>
        <w:spacing w:line="360" w:lineRule="auto" w:before="223"/>
        <w:ind w:left="1421" w:right="699" w:firstLine="422"/>
      </w:pPr>
      <w:r>
        <w:rPr/>
        <w:t>Pendapatan daerah yang bersumber dari Lain-lain Pendapatan yang</w:t>
      </w:r>
      <w:r>
        <w:rPr>
          <w:spacing w:val="-8"/>
        </w:rPr>
        <w:t> </w:t>
      </w:r>
      <w:r>
        <w:rPr/>
        <w:t>Sah</w:t>
      </w:r>
      <w:r>
        <w:rPr>
          <w:spacing w:val="-7"/>
        </w:rPr>
        <w:t> </w:t>
      </w:r>
      <w:r>
        <w:rPr/>
        <w:t>meliputi</w:t>
      </w:r>
      <w:r>
        <w:rPr>
          <w:spacing w:val="-6"/>
        </w:rPr>
        <w:t> </w:t>
      </w:r>
      <w:r>
        <w:rPr/>
        <w:t>:</w:t>
      </w:r>
      <w:r>
        <w:rPr>
          <w:spacing w:val="-5"/>
        </w:rPr>
        <w:t> </w:t>
      </w:r>
      <w:r>
        <w:rPr/>
        <w:t>(1)</w:t>
      </w:r>
      <w:r>
        <w:rPr>
          <w:spacing w:val="-7"/>
        </w:rPr>
        <w:t> </w:t>
      </w:r>
      <w:r>
        <w:rPr/>
        <w:t>Pendapatan</w:t>
      </w:r>
      <w:r>
        <w:rPr>
          <w:spacing w:val="-7"/>
        </w:rPr>
        <w:t> </w:t>
      </w:r>
      <w:r>
        <w:rPr/>
        <w:t>hibah;</w:t>
      </w:r>
      <w:r>
        <w:rPr>
          <w:spacing w:val="-5"/>
        </w:rPr>
        <w:t> </w:t>
      </w:r>
      <w:r>
        <w:rPr/>
        <w:t>dan</w:t>
      </w:r>
      <w:r>
        <w:rPr>
          <w:spacing w:val="-3"/>
        </w:rPr>
        <w:t> </w:t>
      </w:r>
      <w:r>
        <w:rPr/>
        <w:t>(2)</w:t>
      </w:r>
      <w:r>
        <w:rPr>
          <w:spacing w:val="-6"/>
        </w:rPr>
        <w:t> </w:t>
      </w:r>
      <w:r>
        <w:rPr/>
        <w:t>Pendapatan</w:t>
      </w:r>
      <w:r>
        <w:rPr>
          <w:spacing w:val="-7"/>
        </w:rPr>
        <w:t> </w:t>
      </w:r>
      <w:r>
        <w:rPr/>
        <w:t>dana darurat.</w:t>
      </w:r>
      <w:r>
        <w:rPr>
          <w:spacing w:val="-6"/>
        </w:rPr>
        <w:t> </w:t>
      </w:r>
      <w:r>
        <w:rPr/>
        <w:t>Pendapatan</w:t>
      </w:r>
      <w:r>
        <w:rPr>
          <w:spacing w:val="-6"/>
        </w:rPr>
        <w:t> </w:t>
      </w:r>
      <w:r>
        <w:rPr/>
        <w:t>hibah</w:t>
      </w:r>
      <w:r>
        <w:rPr>
          <w:spacing w:val="-7"/>
        </w:rPr>
        <w:t> </w:t>
      </w:r>
      <w:r>
        <w:rPr/>
        <w:t>adalah</w:t>
      </w:r>
      <w:r>
        <w:rPr>
          <w:spacing w:val="-7"/>
        </w:rPr>
        <w:t> </w:t>
      </w:r>
      <w:r>
        <w:rPr/>
        <w:t>penerimaan</w:t>
      </w:r>
      <w:r>
        <w:rPr>
          <w:spacing w:val="-2"/>
        </w:rPr>
        <w:t> </w:t>
      </w:r>
      <w:r>
        <w:rPr/>
        <w:t>daerah</w:t>
      </w:r>
      <w:r>
        <w:rPr>
          <w:spacing w:val="-7"/>
        </w:rPr>
        <w:t> </w:t>
      </w:r>
      <w:r>
        <w:rPr/>
        <w:t>yang</w:t>
      </w:r>
      <w:r>
        <w:rPr>
          <w:spacing w:val="-4"/>
        </w:rPr>
        <w:t> </w:t>
      </w:r>
      <w:r>
        <w:rPr/>
        <w:t>berasal dari pemerintah negara asing, badan/lembaga asing, badan/lembaga internasional, pemerintah, badan/lembaga dalam negeri atau perseorangan, baik dalam bentuk devisa, rupiah maupunbarang dan/atau jasa, termasuk tenaga ahli dan pelatihan yang tidak perlu dibayar kembali. Sedangkan dana darurat adalah dana yang berasal dari Anggaran Pendapatan dan Belanja Negara (APBN)</w:t>
      </w:r>
      <w:r>
        <w:rPr>
          <w:spacing w:val="-11"/>
        </w:rPr>
        <w:t> </w:t>
      </w:r>
      <w:r>
        <w:rPr/>
        <w:t>yang</w:t>
      </w:r>
      <w:r>
        <w:rPr>
          <w:spacing w:val="-7"/>
        </w:rPr>
        <w:t> </w:t>
      </w:r>
      <w:r>
        <w:rPr/>
        <w:t>dialokasikan</w:t>
      </w:r>
      <w:r>
        <w:rPr>
          <w:spacing w:val="-7"/>
        </w:rPr>
        <w:t> </w:t>
      </w:r>
      <w:r>
        <w:rPr/>
        <w:t>kepada</w:t>
      </w:r>
      <w:r>
        <w:rPr>
          <w:spacing w:val="-12"/>
        </w:rPr>
        <w:t> </w:t>
      </w:r>
      <w:r>
        <w:rPr/>
        <w:t>daerah</w:t>
      </w:r>
      <w:r>
        <w:rPr>
          <w:spacing w:val="-7"/>
        </w:rPr>
        <w:t> </w:t>
      </w:r>
      <w:r>
        <w:rPr/>
        <w:t>yang</w:t>
      </w:r>
      <w:r>
        <w:rPr>
          <w:spacing w:val="-8"/>
        </w:rPr>
        <w:t> </w:t>
      </w:r>
      <w:r>
        <w:rPr/>
        <w:t>mengalami</w:t>
      </w:r>
      <w:r>
        <w:rPr>
          <w:spacing w:val="-6"/>
        </w:rPr>
        <w:t> </w:t>
      </w:r>
      <w:r>
        <w:rPr/>
        <w:t>bencana nasional, peristiwa luar biasa, dan/atau krisis solvabilitas (krisis untuk memenuhi semua kewajibannya).</w:t>
      </w:r>
    </w:p>
    <w:p>
      <w:pPr>
        <w:pStyle w:val="Heading2"/>
        <w:numPr>
          <w:ilvl w:val="4"/>
          <w:numId w:val="7"/>
        </w:numPr>
        <w:tabs>
          <w:tab w:pos="1523" w:val="left" w:leader="none"/>
        </w:tabs>
        <w:spacing w:line="240" w:lineRule="auto" w:before="242" w:after="0"/>
        <w:ind w:left="1523" w:right="0" w:hanging="607"/>
        <w:jc w:val="both"/>
      </w:pPr>
      <w:bookmarkStart w:name="_bookmark17" w:id="18"/>
      <w:bookmarkEnd w:id="18"/>
      <w:r>
        <w:rPr>
          <w:b w:val="0"/>
        </w:rPr>
      </w:r>
      <w:r>
        <w:rPr/>
        <w:t>Arah</w:t>
      </w:r>
      <w:r>
        <w:rPr>
          <w:spacing w:val="-8"/>
        </w:rPr>
        <w:t> </w:t>
      </w:r>
      <w:r>
        <w:rPr/>
        <w:t>ke</w:t>
      </w:r>
      <w:r>
        <w:rPr>
          <w:spacing w:val="-3"/>
        </w:rPr>
        <w:t> </w:t>
      </w:r>
      <w:r>
        <w:rPr/>
        <w:t>Depan</w:t>
      </w:r>
      <w:r>
        <w:rPr>
          <w:spacing w:val="-2"/>
        </w:rPr>
        <w:t> </w:t>
      </w:r>
      <w:r>
        <w:rPr/>
        <w:t>Kebijakan</w:t>
      </w:r>
      <w:r>
        <w:rPr>
          <w:spacing w:val="-3"/>
        </w:rPr>
        <w:t> </w:t>
      </w:r>
      <w:r>
        <w:rPr/>
        <w:t>Pajak</w:t>
      </w:r>
      <w:r>
        <w:rPr>
          <w:spacing w:val="-7"/>
        </w:rPr>
        <w:t> </w:t>
      </w:r>
      <w:r>
        <w:rPr/>
        <w:t>Daerah</w:t>
      </w:r>
      <w:r>
        <w:rPr>
          <w:spacing w:val="-5"/>
        </w:rPr>
        <w:t> </w:t>
      </w:r>
      <w:r>
        <w:rPr/>
        <w:t>dan</w:t>
      </w:r>
      <w:r>
        <w:rPr>
          <w:spacing w:val="-8"/>
        </w:rPr>
        <w:t> </w:t>
      </w:r>
      <w:r>
        <w:rPr/>
        <w:t>Retribusi</w:t>
      </w:r>
      <w:r>
        <w:rPr>
          <w:spacing w:val="-6"/>
        </w:rPr>
        <w:t> </w:t>
      </w:r>
      <w:r>
        <w:rPr>
          <w:spacing w:val="-2"/>
        </w:rPr>
        <w:t>Daerah</w:t>
      </w:r>
    </w:p>
    <w:p>
      <w:pPr>
        <w:pStyle w:val="BodyText"/>
        <w:spacing w:line="360" w:lineRule="auto" w:before="223"/>
        <w:ind w:left="566" w:right="700" w:firstLine="571"/>
      </w:pPr>
      <w:r>
        <w:rPr/>
        <w:t>Kebijakan Pajak Daerah dan Retribusi Daerah (PDRD) ke depan lebih diarahkan</w:t>
      </w:r>
      <w:r>
        <w:rPr>
          <w:spacing w:val="-17"/>
        </w:rPr>
        <w:t> </w:t>
      </w:r>
      <w:r>
        <w:rPr/>
        <w:t>pada</w:t>
      </w:r>
      <w:r>
        <w:rPr>
          <w:spacing w:val="-16"/>
        </w:rPr>
        <w:t> </w:t>
      </w:r>
      <w:r>
        <w:rPr/>
        <w:t>penguatan</w:t>
      </w:r>
      <w:r>
        <w:rPr>
          <w:spacing w:val="-17"/>
        </w:rPr>
        <w:t> </w:t>
      </w:r>
      <w:r>
        <w:rPr>
          <w:i/>
        </w:rPr>
        <w:t>taxing</w:t>
      </w:r>
      <w:r>
        <w:rPr>
          <w:i/>
          <w:spacing w:val="-16"/>
        </w:rPr>
        <w:t> </w:t>
      </w:r>
      <w:r>
        <w:rPr>
          <w:i/>
        </w:rPr>
        <w:t>power</w:t>
      </w:r>
      <w:r>
        <w:rPr>
          <w:i/>
          <w:spacing w:val="-17"/>
        </w:rPr>
        <w:t> </w:t>
      </w:r>
      <w:r>
        <w:rPr/>
        <w:t>daerah,</w:t>
      </w:r>
      <w:r>
        <w:rPr>
          <w:spacing w:val="-16"/>
        </w:rPr>
        <w:t> </w:t>
      </w:r>
      <w:r>
        <w:rPr/>
        <w:t>yaitu</w:t>
      </w:r>
      <w:r>
        <w:rPr>
          <w:spacing w:val="-17"/>
        </w:rPr>
        <w:t> </w:t>
      </w:r>
      <w:r>
        <w:rPr/>
        <w:t>denganmeningkatkan basis</w:t>
      </w:r>
      <w:r>
        <w:rPr>
          <w:spacing w:val="-2"/>
        </w:rPr>
        <w:t> </w:t>
      </w:r>
      <w:r>
        <w:rPr/>
        <w:t>pajak daerah dan diskresi dalam menetapkan tarif pajakdaerah.</w:t>
      </w:r>
    </w:p>
    <w:p>
      <w:pPr>
        <w:pStyle w:val="BodyText"/>
        <w:spacing w:line="360" w:lineRule="auto"/>
        <w:ind w:left="566" w:right="700" w:firstLine="571"/>
      </w:pPr>
      <w:r>
        <w:rPr/>
        <w:t>Peningkatan basis pajak daerah dilakukan dengan memperluas basis pajak</w:t>
      </w:r>
      <w:r>
        <w:rPr>
          <w:spacing w:val="-12"/>
        </w:rPr>
        <w:t> </w:t>
      </w:r>
      <w:r>
        <w:rPr/>
        <w:t>yang</w:t>
      </w:r>
      <w:r>
        <w:rPr>
          <w:spacing w:val="-14"/>
        </w:rPr>
        <w:t> </w:t>
      </w:r>
      <w:r>
        <w:rPr/>
        <w:t>sudah</w:t>
      </w:r>
      <w:r>
        <w:rPr>
          <w:spacing w:val="-10"/>
        </w:rPr>
        <w:t> </w:t>
      </w:r>
      <w:r>
        <w:rPr/>
        <w:t>ada,</w:t>
      </w:r>
      <w:r>
        <w:rPr>
          <w:spacing w:val="-12"/>
        </w:rPr>
        <w:t> </w:t>
      </w:r>
      <w:r>
        <w:rPr/>
        <w:t>seperti</w:t>
      </w:r>
      <w:r>
        <w:rPr>
          <w:spacing w:val="-9"/>
        </w:rPr>
        <w:t> </w:t>
      </w:r>
      <w:r>
        <w:rPr/>
        <w:t>katering</w:t>
      </w:r>
      <w:r>
        <w:rPr>
          <w:spacing w:val="-11"/>
        </w:rPr>
        <w:t> </w:t>
      </w:r>
      <w:r>
        <w:rPr/>
        <w:t>untuk</w:t>
      </w:r>
      <w:r>
        <w:rPr>
          <w:spacing w:val="-12"/>
        </w:rPr>
        <w:t> </w:t>
      </w:r>
      <w:r>
        <w:rPr/>
        <w:t>Pajak</w:t>
      </w:r>
      <w:r>
        <w:rPr>
          <w:spacing w:val="-12"/>
        </w:rPr>
        <w:t> </w:t>
      </w:r>
      <w:r>
        <w:rPr/>
        <w:t>Restoran</w:t>
      </w:r>
      <w:r>
        <w:rPr>
          <w:spacing w:val="-9"/>
        </w:rPr>
        <w:t> </w:t>
      </w:r>
      <w:r>
        <w:rPr/>
        <w:t>dan</w:t>
      </w:r>
      <w:r>
        <w:rPr>
          <w:spacing w:val="-14"/>
        </w:rPr>
        <w:t> </w:t>
      </w:r>
      <w:r>
        <w:rPr/>
        <w:t>permainan golf untuk Pajak Hiburan. Di samping itu juga dilakukan penambahan jenis pajak baru, pajak lingkungan (</w:t>
      </w:r>
      <w:r>
        <w:rPr>
          <w:i/>
        </w:rPr>
        <w:t>green tax</w:t>
      </w:r>
      <w:r>
        <w:rPr/>
        <w:t>). Penetapan tarif pajak daerah diserahkan sepenuhnya kepada daerah. UU hanya menetapkan tarif pajak maksimum untuk menghindari pembebanan pajak yang berlebihan.</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697" w:firstLine="571"/>
      </w:pPr>
      <w:r>
        <w:rPr/>
        <w:t>Untuk menjamin agar daerah tidak menciptakan pungutan yang bermasalah dan sekaligus untuk meningkatkan pengawasan pungutan daerah,</w:t>
      </w:r>
      <w:r>
        <w:rPr>
          <w:spacing w:val="-15"/>
        </w:rPr>
        <w:t> </w:t>
      </w:r>
      <w:r>
        <w:rPr/>
        <w:t>maka</w:t>
      </w:r>
      <w:r>
        <w:rPr>
          <w:spacing w:val="-16"/>
        </w:rPr>
        <w:t> </w:t>
      </w:r>
      <w:r>
        <w:rPr/>
        <w:t>mekanisme</w:t>
      </w:r>
      <w:r>
        <w:rPr>
          <w:spacing w:val="-15"/>
        </w:rPr>
        <w:t> </w:t>
      </w:r>
      <w:r>
        <w:rPr/>
        <w:t>pengawasan</w:t>
      </w:r>
      <w:r>
        <w:rPr>
          <w:spacing w:val="-15"/>
        </w:rPr>
        <w:t> </w:t>
      </w:r>
      <w:r>
        <w:rPr/>
        <w:t>PDRD</w:t>
      </w:r>
      <w:r>
        <w:rPr>
          <w:spacing w:val="-15"/>
        </w:rPr>
        <w:t> </w:t>
      </w:r>
      <w:r>
        <w:rPr/>
        <w:t>dilakukan</w:t>
      </w:r>
      <w:r>
        <w:rPr>
          <w:spacing w:val="-16"/>
        </w:rPr>
        <w:t> </w:t>
      </w:r>
      <w:r>
        <w:rPr/>
        <w:t>secara</w:t>
      </w:r>
      <w:r>
        <w:rPr>
          <w:spacing w:val="-16"/>
        </w:rPr>
        <w:t> </w:t>
      </w:r>
      <w:r>
        <w:rPr/>
        <w:t>preventif</w:t>
      </w:r>
      <w:r>
        <w:rPr>
          <w:spacing w:val="-14"/>
        </w:rPr>
        <w:t> </w:t>
      </w:r>
      <w:r>
        <w:rPr/>
        <w:t>dan diterapkan sanksi bagi daerah yang melanggar, antara lain dapat berupa penundaan dana perimbangan.</w:t>
      </w:r>
    </w:p>
    <w:p>
      <w:pPr>
        <w:pStyle w:val="BodyText"/>
        <w:spacing w:line="360" w:lineRule="auto" w:before="2"/>
        <w:ind w:left="566" w:right="699" w:firstLine="571"/>
      </w:pPr>
      <w:r>
        <w:rPr/>
        <w:t>Untuk menghindari adanya pungutan-pungutan daerah yang menghambat perkembangan ekonomi nasional dan sekaligus menjamin daerah dapat memenuhi kebutuhan pengeluarannya, akan ditingkatkan kegiatan</w:t>
      </w:r>
      <w:r>
        <w:rPr>
          <w:spacing w:val="-14"/>
        </w:rPr>
        <w:t> </w:t>
      </w:r>
      <w:r>
        <w:rPr/>
        <w:t>penguatan</w:t>
      </w:r>
      <w:r>
        <w:rPr>
          <w:spacing w:val="-13"/>
        </w:rPr>
        <w:t> </w:t>
      </w:r>
      <w:r>
        <w:rPr/>
        <w:t>kapasitas</w:t>
      </w:r>
      <w:r>
        <w:rPr>
          <w:spacing w:val="-9"/>
        </w:rPr>
        <w:t> </w:t>
      </w:r>
      <w:r>
        <w:rPr/>
        <w:t>SDM</w:t>
      </w:r>
      <w:r>
        <w:rPr>
          <w:spacing w:val="-12"/>
        </w:rPr>
        <w:t> </w:t>
      </w:r>
      <w:r>
        <w:rPr/>
        <w:t>melalui</w:t>
      </w:r>
      <w:r>
        <w:rPr>
          <w:spacing w:val="-9"/>
        </w:rPr>
        <w:t> </w:t>
      </w:r>
      <w:r>
        <w:rPr/>
        <w:t>bimbingan</w:t>
      </w:r>
      <w:r>
        <w:rPr>
          <w:spacing w:val="-13"/>
        </w:rPr>
        <w:t> </w:t>
      </w:r>
      <w:r>
        <w:rPr/>
        <w:t>teknis</w:t>
      </w:r>
      <w:r>
        <w:rPr>
          <w:spacing w:val="-13"/>
        </w:rPr>
        <w:t> </w:t>
      </w:r>
      <w:r>
        <w:rPr/>
        <w:t>dan</w:t>
      </w:r>
      <w:r>
        <w:rPr>
          <w:spacing w:val="-14"/>
        </w:rPr>
        <w:t> </w:t>
      </w:r>
      <w:r>
        <w:rPr/>
        <w:t>sosialisasi kepada berbagai pihak terkait.</w:t>
      </w:r>
    </w:p>
    <w:p>
      <w:pPr>
        <w:pStyle w:val="BodyText"/>
        <w:jc w:val="left"/>
      </w:pPr>
    </w:p>
    <w:p>
      <w:pPr>
        <w:pStyle w:val="BodyText"/>
        <w:spacing w:before="83"/>
        <w:jc w:val="left"/>
      </w:pPr>
    </w:p>
    <w:p>
      <w:pPr>
        <w:pStyle w:val="Heading2"/>
        <w:numPr>
          <w:ilvl w:val="4"/>
          <w:numId w:val="7"/>
        </w:numPr>
        <w:tabs>
          <w:tab w:pos="1523" w:val="left" w:leader="none"/>
        </w:tabs>
        <w:spacing w:line="240" w:lineRule="auto" w:before="0" w:after="0"/>
        <w:ind w:left="1523" w:right="0" w:hanging="607"/>
        <w:jc w:val="both"/>
      </w:pPr>
      <w:bookmarkStart w:name="_bookmark18" w:id="19"/>
      <w:bookmarkEnd w:id="19"/>
      <w:r>
        <w:rPr>
          <w:b w:val="0"/>
        </w:rPr>
      </w:r>
      <w:r>
        <w:rPr/>
        <w:t>Strategi</w:t>
      </w:r>
      <w:r>
        <w:rPr>
          <w:spacing w:val="-9"/>
        </w:rPr>
        <w:t> </w:t>
      </w:r>
      <w:r>
        <w:rPr/>
        <w:t>Peningkatan</w:t>
      </w:r>
      <w:r>
        <w:rPr>
          <w:spacing w:val="-8"/>
        </w:rPr>
        <w:t> </w:t>
      </w:r>
      <w:r>
        <w:rPr/>
        <w:t>Pajak</w:t>
      </w:r>
      <w:r>
        <w:rPr>
          <w:spacing w:val="-8"/>
        </w:rPr>
        <w:t> </w:t>
      </w:r>
      <w:r>
        <w:rPr/>
        <w:t>Daerah</w:t>
      </w:r>
      <w:r>
        <w:rPr>
          <w:spacing w:val="-8"/>
        </w:rPr>
        <w:t> </w:t>
      </w:r>
      <w:r>
        <w:rPr/>
        <w:t>dan</w:t>
      </w:r>
      <w:r>
        <w:rPr>
          <w:spacing w:val="-8"/>
        </w:rPr>
        <w:t> </w:t>
      </w:r>
      <w:r>
        <w:rPr/>
        <w:t>Retribusi</w:t>
      </w:r>
      <w:r>
        <w:rPr>
          <w:spacing w:val="-8"/>
        </w:rPr>
        <w:t> </w:t>
      </w:r>
      <w:r>
        <w:rPr>
          <w:spacing w:val="-2"/>
        </w:rPr>
        <w:t>Daerah</w:t>
      </w:r>
    </w:p>
    <w:p>
      <w:pPr>
        <w:pStyle w:val="BodyText"/>
        <w:spacing w:line="360" w:lineRule="auto" w:before="224"/>
        <w:ind w:left="566" w:right="700" w:firstLine="571"/>
      </w:pPr>
      <w:r>
        <w:rPr/>
        <w:t>Upaya membangun kemandirian keuangan daerah diperlukan kemampuan pemerintah daerah untuk menyusun strategi yang tepat dan melakukan</w:t>
      </w:r>
      <w:r>
        <w:rPr>
          <w:spacing w:val="-17"/>
        </w:rPr>
        <w:t> </w:t>
      </w:r>
      <w:r>
        <w:rPr/>
        <w:t>langkah-langkah</w:t>
      </w:r>
      <w:r>
        <w:rPr>
          <w:spacing w:val="-16"/>
        </w:rPr>
        <w:t> </w:t>
      </w:r>
      <w:r>
        <w:rPr/>
        <w:t>yang</w:t>
      </w:r>
      <w:r>
        <w:rPr>
          <w:spacing w:val="-17"/>
        </w:rPr>
        <w:t> </w:t>
      </w:r>
      <w:r>
        <w:rPr/>
        <w:t>relevan</w:t>
      </w:r>
      <w:r>
        <w:rPr>
          <w:spacing w:val="-16"/>
        </w:rPr>
        <w:t> </w:t>
      </w:r>
      <w:r>
        <w:rPr/>
        <w:t>terkait</w:t>
      </w:r>
      <w:r>
        <w:rPr>
          <w:spacing w:val="-17"/>
        </w:rPr>
        <w:t> </w:t>
      </w:r>
      <w:r>
        <w:rPr/>
        <w:t>dengan</w:t>
      </w:r>
      <w:r>
        <w:rPr>
          <w:spacing w:val="-16"/>
        </w:rPr>
        <w:t> </w:t>
      </w:r>
      <w:r>
        <w:rPr/>
        <w:t>upayapeningkatan kemampuan</w:t>
      </w:r>
      <w:r>
        <w:rPr>
          <w:spacing w:val="-17"/>
        </w:rPr>
        <w:t> </w:t>
      </w:r>
      <w:r>
        <w:rPr/>
        <w:t>keuangan</w:t>
      </w:r>
      <w:r>
        <w:rPr>
          <w:spacing w:val="-16"/>
        </w:rPr>
        <w:t> </w:t>
      </w:r>
      <w:r>
        <w:rPr/>
        <w:t>daerah</w:t>
      </w:r>
      <w:r>
        <w:rPr>
          <w:spacing w:val="-17"/>
        </w:rPr>
        <w:t> </w:t>
      </w:r>
      <w:r>
        <w:rPr/>
        <w:t>untuk</w:t>
      </w:r>
      <w:r>
        <w:rPr>
          <w:spacing w:val="-16"/>
        </w:rPr>
        <w:t> </w:t>
      </w:r>
      <w:r>
        <w:rPr/>
        <w:t>membiayai</w:t>
      </w:r>
      <w:r>
        <w:rPr>
          <w:spacing w:val="-17"/>
        </w:rPr>
        <w:t> </w:t>
      </w:r>
      <w:r>
        <w:rPr/>
        <w:t>jalannya</w:t>
      </w:r>
      <w:r>
        <w:rPr>
          <w:spacing w:val="-16"/>
        </w:rPr>
        <w:t> </w:t>
      </w:r>
      <w:r>
        <w:rPr/>
        <w:t>pemerintahan</w:t>
      </w:r>
      <w:r>
        <w:rPr>
          <w:spacing w:val="-17"/>
        </w:rPr>
        <w:t> </w:t>
      </w:r>
      <w:r>
        <w:rPr/>
        <w:t>dan pembangunan daerah.</w:t>
      </w:r>
    </w:p>
    <w:p>
      <w:pPr>
        <w:pStyle w:val="BodyText"/>
        <w:spacing w:line="360" w:lineRule="auto"/>
        <w:ind w:left="566" w:right="699" w:firstLine="571"/>
      </w:pPr>
      <w:r>
        <w:rPr/>
        <w:t>Musri (2006) menyatakan bahwa pajak daerah dan retribusi daerah harus</w:t>
      </w:r>
      <w:r>
        <w:rPr>
          <w:spacing w:val="-17"/>
        </w:rPr>
        <w:t> </w:t>
      </w:r>
      <w:r>
        <w:rPr/>
        <w:t>mengacu</w:t>
      </w:r>
      <w:r>
        <w:rPr>
          <w:spacing w:val="-16"/>
        </w:rPr>
        <w:t> </w:t>
      </w:r>
      <w:r>
        <w:rPr/>
        <w:t>kepada</w:t>
      </w:r>
      <w:r>
        <w:rPr>
          <w:spacing w:val="-17"/>
        </w:rPr>
        <w:t> </w:t>
      </w:r>
      <w:r>
        <w:rPr/>
        <w:t>Undang-Undang</w:t>
      </w:r>
      <w:r>
        <w:rPr>
          <w:spacing w:val="-16"/>
        </w:rPr>
        <w:t> </w:t>
      </w:r>
      <w:r>
        <w:rPr/>
        <w:t>Pajak</w:t>
      </w:r>
      <w:r>
        <w:rPr>
          <w:spacing w:val="-17"/>
        </w:rPr>
        <w:t> </w:t>
      </w:r>
      <w:r>
        <w:rPr/>
        <w:t>Daerah</w:t>
      </w:r>
      <w:r>
        <w:rPr>
          <w:spacing w:val="-16"/>
        </w:rPr>
        <w:t> </w:t>
      </w:r>
      <w:r>
        <w:rPr/>
        <w:t>dan</w:t>
      </w:r>
      <w:r>
        <w:rPr>
          <w:spacing w:val="-17"/>
        </w:rPr>
        <w:t> </w:t>
      </w:r>
      <w:r>
        <w:rPr/>
        <w:t>Retribusi</w:t>
      </w:r>
      <w:r>
        <w:rPr>
          <w:spacing w:val="-16"/>
        </w:rPr>
        <w:t> </w:t>
      </w:r>
      <w:r>
        <w:rPr/>
        <w:t>daerah, agar</w:t>
      </w:r>
      <w:r>
        <w:rPr>
          <w:spacing w:val="-4"/>
        </w:rPr>
        <w:t> </w:t>
      </w:r>
      <w:r>
        <w:rPr/>
        <w:t>dapat</w:t>
      </w:r>
      <w:r>
        <w:rPr>
          <w:spacing w:val="-2"/>
        </w:rPr>
        <w:t> </w:t>
      </w:r>
      <w:r>
        <w:rPr/>
        <w:t>diberlakukan</w:t>
      </w:r>
      <w:r>
        <w:rPr>
          <w:spacing w:val="-4"/>
        </w:rPr>
        <w:t> </w:t>
      </w:r>
      <w:r>
        <w:rPr/>
        <w:t>kepada</w:t>
      </w:r>
      <w:r>
        <w:rPr>
          <w:spacing w:val="-4"/>
        </w:rPr>
        <w:t> </w:t>
      </w:r>
      <w:r>
        <w:rPr/>
        <w:t>masyarakat</w:t>
      </w:r>
      <w:r>
        <w:rPr>
          <w:spacing w:val="-2"/>
        </w:rPr>
        <w:t> </w:t>
      </w:r>
      <w:r>
        <w:rPr/>
        <w:t>sebagai</w:t>
      </w:r>
      <w:r>
        <w:rPr>
          <w:spacing w:val="-3"/>
        </w:rPr>
        <w:t> </w:t>
      </w:r>
      <w:r>
        <w:rPr/>
        <w:t>wajib</w:t>
      </w:r>
      <w:r>
        <w:rPr>
          <w:spacing w:val="-4"/>
        </w:rPr>
        <w:t> </w:t>
      </w:r>
      <w:r>
        <w:rPr/>
        <w:t>pajak</w:t>
      </w:r>
      <w:r>
        <w:rPr>
          <w:spacing w:val="-2"/>
        </w:rPr>
        <w:t> </w:t>
      </w:r>
      <w:r>
        <w:rPr/>
        <w:t>atau</w:t>
      </w:r>
      <w:r>
        <w:rPr>
          <w:spacing w:val="-4"/>
        </w:rPr>
        <w:t> </w:t>
      </w:r>
      <w:r>
        <w:rPr/>
        <w:t>wajib retribusi dan dengan dibuatkan peraturan daerah oleh daerah yang bersangkutan.</w:t>
      </w:r>
      <w:r>
        <w:rPr>
          <w:spacing w:val="-11"/>
        </w:rPr>
        <w:t> </w:t>
      </w:r>
      <w:r>
        <w:rPr/>
        <w:t>Selanjutnya</w:t>
      </w:r>
      <w:r>
        <w:rPr>
          <w:spacing w:val="-14"/>
        </w:rPr>
        <w:t> </w:t>
      </w:r>
      <w:r>
        <w:rPr/>
        <w:t>Siahaan</w:t>
      </w:r>
      <w:r>
        <w:rPr>
          <w:spacing w:val="-13"/>
        </w:rPr>
        <w:t> </w:t>
      </w:r>
      <w:r>
        <w:rPr/>
        <w:t>(2013)</w:t>
      </w:r>
      <w:r>
        <w:rPr>
          <w:spacing w:val="-13"/>
        </w:rPr>
        <w:t> </w:t>
      </w:r>
      <w:r>
        <w:rPr/>
        <w:t>menyatakan</w:t>
      </w:r>
      <w:r>
        <w:rPr>
          <w:spacing w:val="-13"/>
        </w:rPr>
        <w:t> </w:t>
      </w:r>
      <w:r>
        <w:rPr/>
        <w:t>bahwa</w:t>
      </w:r>
      <w:r>
        <w:rPr>
          <w:spacing w:val="40"/>
        </w:rPr>
        <w:t> </w:t>
      </w:r>
      <w:r>
        <w:rPr/>
        <w:t>secaraumum pajak adalah pungutan dari masyarakat oleh negara (pemerintah) berdasarkan</w:t>
      </w:r>
      <w:r>
        <w:rPr>
          <w:spacing w:val="-1"/>
        </w:rPr>
        <w:t> </w:t>
      </w:r>
      <w:r>
        <w:rPr/>
        <w:t>Undang-Undang</w:t>
      </w:r>
      <w:r>
        <w:rPr>
          <w:spacing w:val="-5"/>
        </w:rPr>
        <w:t> </w:t>
      </w:r>
      <w:r>
        <w:rPr/>
        <w:t>yang</w:t>
      </w:r>
      <w:r>
        <w:rPr>
          <w:spacing w:val="-5"/>
        </w:rPr>
        <w:t> </w:t>
      </w:r>
      <w:r>
        <w:rPr/>
        <w:t>bersifat</w:t>
      </w:r>
      <w:r>
        <w:rPr>
          <w:spacing w:val="-3"/>
        </w:rPr>
        <w:t> </w:t>
      </w:r>
      <w:r>
        <w:rPr/>
        <w:t>dapat</w:t>
      </w:r>
      <w:r>
        <w:rPr>
          <w:spacing w:val="-3"/>
        </w:rPr>
        <w:t> </w:t>
      </w:r>
      <w:r>
        <w:rPr/>
        <w:t>dipaksakan</w:t>
      </w:r>
      <w:r>
        <w:rPr>
          <w:spacing w:val="-5"/>
        </w:rPr>
        <w:t> </w:t>
      </w:r>
      <w:r>
        <w:rPr/>
        <w:t>dan</w:t>
      </w:r>
      <w:r>
        <w:rPr>
          <w:spacing w:val="-5"/>
        </w:rPr>
        <w:t> </w:t>
      </w:r>
      <w:r>
        <w:rPr/>
        <w:t>terutang oleh wajib pajak membayarnya dengan tidak mendapat prestasi kembali (kontra</w:t>
      </w:r>
      <w:r>
        <w:rPr>
          <w:spacing w:val="-11"/>
        </w:rPr>
        <w:t> </w:t>
      </w:r>
      <w:r>
        <w:rPr/>
        <w:t>prestasi/balas</w:t>
      </w:r>
      <w:r>
        <w:rPr>
          <w:spacing w:val="-9"/>
        </w:rPr>
        <w:t> </w:t>
      </w:r>
      <w:r>
        <w:rPr/>
        <w:t>jasa)</w:t>
      </w:r>
      <w:r>
        <w:rPr>
          <w:spacing w:val="-9"/>
        </w:rPr>
        <w:t> </w:t>
      </w:r>
      <w:r>
        <w:rPr/>
        <w:t>secara</w:t>
      </w:r>
      <w:r>
        <w:rPr>
          <w:spacing w:val="-10"/>
        </w:rPr>
        <w:t> </w:t>
      </w:r>
      <w:r>
        <w:rPr/>
        <w:t>langsung,</w:t>
      </w:r>
      <w:r>
        <w:rPr>
          <w:spacing w:val="-8"/>
        </w:rPr>
        <w:t> </w:t>
      </w:r>
      <w:r>
        <w:rPr/>
        <w:t>yang</w:t>
      </w:r>
      <w:r>
        <w:rPr>
          <w:spacing w:val="-11"/>
        </w:rPr>
        <w:t> </w:t>
      </w:r>
      <w:r>
        <w:rPr/>
        <w:t>hasilnya</w:t>
      </w:r>
      <w:r>
        <w:rPr>
          <w:spacing w:val="-10"/>
        </w:rPr>
        <w:t> </w:t>
      </w:r>
      <w:r>
        <w:rPr/>
        <w:t>digunakan</w:t>
      </w:r>
      <w:r>
        <w:rPr>
          <w:spacing w:val="-9"/>
        </w:rPr>
        <w:t> </w:t>
      </w:r>
      <w:r>
        <w:rPr/>
        <w:t>untuk membiayai</w:t>
      </w:r>
      <w:r>
        <w:rPr>
          <w:spacing w:val="-10"/>
        </w:rPr>
        <w:t> </w:t>
      </w:r>
      <w:r>
        <w:rPr/>
        <w:t>pengeluaran</w:t>
      </w:r>
      <w:r>
        <w:rPr>
          <w:spacing w:val="-10"/>
        </w:rPr>
        <w:t> </w:t>
      </w:r>
      <w:r>
        <w:rPr/>
        <w:t>negara</w:t>
      </w:r>
      <w:r>
        <w:rPr>
          <w:spacing w:val="-6"/>
        </w:rPr>
        <w:t> </w:t>
      </w:r>
      <w:r>
        <w:rPr/>
        <w:t>dalam</w:t>
      </w:r>
      <w:r>
        <w:rPr>
          <w:spacing w:val="-10"/>
        </w:rPr>
        <w:t> </w:t>
      </w:r>
      <w:r>
        <w:rPr/>
        <w:t>penyelenggaraan</w:t>
      </w:r>
      <w:r>
        <w:rPr>
          <w:spacing w:val="-9"/>
        </w:rPr>
        <w:t> </w:t>
      </w:r>
      <w:r>
        <w:rPr/>
        <w:t>pemerintahan</w:t>
      </w:r>
      <w:r>
        <w:rPr>
          <w:spacing w:val="-10"/>
        </w:rPr>
        <w:t> </w:t>
      </w:r>
      <w:r>
        <w:rPr/>
        <w:t>dan</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699"/>
      </w:pPr>
      <w:r>
        <w:rPr/>
        <w:t>pembangunan.</w:t>
      </w:r>
      <w:r>
        <w:rPr>
          <w:spacing w:val="-8"/>
        </w:rPr>
        <w:t> </w:t>
      </w:r>
      <w:r>
        <w:rPr/>
        <w:t>Hal</w:t>
      </w:r>
      <w:r>
        <w:rPr>
          <w:spacing w:val="-9"/>
        </w:rPr>
        <w:t> </w:t>
      </w:r>
      <w:r>
        <w:rPr/>
        <w:t>ini</w:t>
      </w:r>
      <w:r>
        <w:rPr>
          <w:spacing w:val="-9"/>
        </w:rPr>
        <w:t> </w:t>
      </w:r>
      <w:r>
        <w:rPr/>
        <w:t>menunjukkan</w:t>
      </w:r>
      <w:r>
        <w:rPr>
          <w:spacing w:val="-9"/>
        </w:rPr>
        <w:t> </w:t>
      </w:r>
      <w:r>
        <w:rPr/>
        <w:t>bahwa</w:t>
      </w:r>
      <w:r>
        <w:rPr>
          <w:spacing w:val="-10"/>
        </w:rPr>
        <w:t> </w:t>
      </w:r>
      <w:r>
        <w:rPr/>
        <w:t>pajak</w:t>
      </w:r>
      <w:r>
        <w:rPr>
          <w:spacing w:val="-8"/>
        </w:rPr>
        <w:t> </w:t>
      </w:r>
      <w:r>
        <w:rPr/>
        <w:t>adalah</w:t>
      </w:r>
      <w:r>
        <w:rPr>
          <w:spacing w:val="-9"/>
        </w:rPr>
        <w:t> </w:t>
      </w:r>
      <w:r>
        <w:rPr/>
        <w:t>pembayaran</w:t>
      </w:r>
      <w:r>
        <w:rPr>
          <w:spacing w:val="-9"/>
        </w:rPr>
        <w:t> </w:t>
      </w:r>
      <w:r>
        <w:rPr/>
        <w:t>wajib yang dikenakan menurut Undang-undang yang tidak dapat dihindari bagi yang</w:t>
      </w:r>
      <w:r>
        <w:rPr>
          <w:spacing w:val="-13"/>
        </w:rPr>
        <w:t> </w:t>
      </w:r>
      <w:r>
        <w:rPr/>
        <w:t>berkewajiban</w:t>
      </w:r>
      <w:r>
        <w:rPr>
          <w:spacing w:val="-11"/>
        </w:rPr>
        <w:t> </w:t>
      </w:r>
      <w:r>
        <w:rPr/>
        <w:t>dan</w:t>
      </w:r>
      <w:r>
        <w:rPr>
          <w:spacing w:val="-11"/>
        </w:rPr>
        <w:t> </w:t>
      </w:r>
      <w:r>
        <w:rPr/>
        <w:t>bagi</w:t>
      </w:r>
      <w:r>
        <w:rPr>
          <w:spacing w:val="-11"/>
        </w:rPr>
        <w:t> </w:t>
      </w:r>
      <w:r>
        <w:rPr/>
        <w:t>mereka</w:t>
      </w:r>
      <w:r>
        <w:rPr>
          <w:spacing w:val="-12"/>
        </w:rPr>
        <w:t> </w:t>
      </w:r>
      <w:r>
        <w:rPr/>
        <w:t>yang</w:t>
      </w:r>
      <w:r>
        <w:rPr>
          <w:spacing w:val="-13"/>
        </w:rPr>
        <w:t> </w:t>
      </w:r>
      <w:r>
        <w:rPr/>
        <w:t>tidak</w:t>
      </w:r>
      <w:r>
        <w:rPr>
          <w:spacing w:val="-10"/>
        </w:rPr>
        <w:t> </w:t>
      </w:r>
      <w:r>
        <w:rPr/>
        <w:t>mau</w:t>
      </w:r>
      <w:r>
        <w:rPr>
          <w:spacing w:val="-12"/>
        </w:rPr>
        <w:t> </w:t>
      </w:r>
      <w:r>
        <w:rPr/>
        <w:t>membayar</w:t>
      </w:r>
      <w:r>
        <w:rPr>
          <w:spacing w:val="-12"/>
        </w:rPr>
        <w:t> </w:t>
      </w:r>
      <w:r>
        <w:rPr/>
        <w:t>pajak</w:t>
      </w:r>
      <w:r>
        <w:rPr>
          <w:spacing w:val="-9"/>
        </w:rPr>
        <w:t> </w:t>
      </w:r>
      <w:r>
        <w:rPr/>
        <w:t>dapat dilakukan paksaan. Dengan demikian, akan terjamin bahwa kas negara selalu berisi uang pajak.</w:t>
      </w:r>
    </w:p>
    <w:p>
      <w:pPr>
        <w:pStyle w:val="BodyText"/>
        <w:spacing w:line="360" w:lineRule="auto" w:before="2"/>
        <w:ind w:left="566" w:right="704" w:firstLine="571"/>
      </w:pPr>
      <w:r>
        <w:rPr/>
        <w:t>Bebagai strategi yang dapat dilakukan dalam pengelolaan pajak dan retribusi daerah antara lain sebagai berikut: (1) Meningkatkan pemahaman masyarakat,</w:t>
      </w:r>
      <w:r>
        <w:rPr>
          <w:spacing w:val="-15"/>
        </w:rPr>
        <w:t> </w:t>
      </w:r>
      <w:r>
        <w:rPr/>
        <w:t>wajib</w:t>
      </w:r>
      <w:r>
        <w:rPr>
          <w:spacing w:val="-14"/>
        </w:rPr>
        <w:t> </w:t>
      </w:r>
      <w:r>
        <w:rPr/>
        <w:t>pajak</w:t>
      </w:r>
      <w:r>
        <w:rPr>
          <w:spacing w:val="-11"/>
        </w:rPr>
        <w:t> </w:t>
      </w:r>
      <w:r>
        <w:rPr/>
        <w:t>dan</w:t>
      </w:r>
      <w:r>
        <w:rPr>
          <w:spacing w:val="-17"/>
        </w:rPr>
        <w:t> </w:t>
      </w:r>
      <w:r>
        <w:rPr/>
        <w:t>stakeholder</w:t>
      </w:r>
      <w:r>
        <w:rPr>
          <w:spacing w:val="35"/>
        </w:rPr>
        <w:t> </w:t>
      </w:r>
      <w:r>
        <w:rPr/>
        <w:t>lainnya</w:t>
      </w:r>
      <w:r>
        <w:rPr>
          <w:spacing w:val="35"/>
        </w:rPr>
        <w:t> </w:t>
      </w:r>
      <w:r>
        <w:rPr/>
        <w:t>dalam</w:t>
      </w:r>
      <w:r>
        <w:rPr>
          <w:spacing w:val="36"/>
        </w:rPr>
        <w:t> </w:t>
      </w:r>
      <w:r>
        <w:rPr/>
        <w:t>upaya</w:t>
      </w:r>
      <w:r>
        <w:rPr>
          <w:spacing w:val="-17"/>
        </w:rPr>
        <w:t> </w:t>
      </w:r>
      <w:r>
        <w:rPr/>
        <w:t>Peningkatan Pendapatan Daerah; (2) Melaksanakan pendataan terhadap potensi pajak daerah; (3) Melaksanakan pengembangan data potensi pajakdaerah; (4) Melakukan Intensifikasi dan Ekstensifikasi pajak daerah; (5)</w:t>
      </w:r>
      <w:r>
        <w:rPr>
          <w:spacing w:val="-8"/>
        </w:rPr>
        <w:t> </w:t>
      </w:r>
      <w:r>
        <w:rPr/>
        <w:t>Melakukan Optimalisasi Pengelolaan Pajak Daerah; (6) Menyiapkan kemampuan profesional Sumber Daya Manusia (SDM) Aparatur agar mampu memberikan</w:t>
      </w:r>
      <w:r>
        <w:rPr>
          <w:spacing w:val="-9"/>
        </w:rPr>
        <w:t> </w:t>
      </w:r>
      <w:r>
        <w:rPr/>
        <w:t>pelayanan</w:t>
      </w:r>
      <w:r>
        <w:rPr>
          <w:spacing w:val="-9"/>
        </w:rPr>
        <w:t> </w:t>
      </w:r>
      <w:r>
        <w:rPr/>
        <w:t>prima;</w:t>
      </w:r>
      <w:r>
        <w:rPr>
          <w:spacing w:val="-7"/>
        </w:rPr>
        <w:t> </w:t>
      </w:r>
      <w:r>
        <w:rPr/>
        <w:t>dan</w:t>
      </w:r>
      <w:r>
        <w:rPr>
          <w:spacing w:val="-9"/>
        </w:rPr>
        <w:t> </w:t>
      </w:r>
      <w:r>
        <w:rPr/>
        <w:t>(7)</w:t>
      </w:r>
      <w:r>
        <w:rPr>
          <w:spacing w:val="-8"/>
        </w:rPr>
        <w:t> </w:t>
      </w:r>
      <w:r>
        <w:rPr/>
        <w:t>Melaksanakan</w:t>
      </w:r>
      <w:r>
        <w:rPr>
          <w:spacing w:val="-9"/>
        </w:rPr>
        <w:t> </w:t>
      </w:r>
      <w:r>
        <w:rPr/>
        <w:t>sosialisasi,</w:t>
      </w:r>
      <w:r>
        <w:rPr>
          <w:spacing w:val="-3"/>
        </w:rPr>
        <w:t> </w:t>
      </w:r>
      <w:r>
        <w:rPr/>
        <w:t>monitoring dan koordinasi evaluasi.</w:t>
      </w:r>
    </w:p>
    <w:p>
      <w:pPr>
        <w:pStyle w:val="BodyText"/>
        <w:spacing w:line="360" w:lineRule="auto" w:before="3"/>
        <w:ind w:left="566" w:right="697" w:firstLine="571"/>
      </w:pPr>
      <w:r>
        <w:rPr/>
        <w:t>Sejalan dengan hal tersebut, Fahratie (2017), menyatakan bahwa strategi pengelolaan pajak</w:t>
      </w:r>
      <w:r>
        <w:rPr>
          <w:spacing w:val="40"/>
        </w:rPr>
        <w:t> </w:t>
      </w:r>
      <w:r>
        <w:rPr/>
        <w:t>daerah</w:t>
      </w:r>
      <w:r>
        <w:rPr>
          <w:spacing w:val="40"/>
        </w:rPr>
        <w:t> </w:t>
      </w:r>
      <w:r>
        <w:rPr/>
        <w:t>dalam</w:t>
      </w:r>
      <w:r>
        <w:rPr>
          <w:spacing w:val="-8"/>
        </w:rPr>
        <w:t> </w:t>
      </w:r>
      <w:r>
        <w:rPr/>
        <w:t>meningkatkan</w:t>
      </w:r>
      <w:r>
        <w:rPr>
          <w:spacing w:val="-13"/>
        </w:rPr>
        <w:t> </w:t>
      </w:r>
      <w:r>
        <w:rPr/>
        <w:t>Pendapatan</w:t>
      </w:r>
      <w:r>
        <w:rPr>
          <w:spacing w:val="-5"/>
        </w:rPr>
        <w:t> </w:t>
      </w:r>
      <w:r>
        <w:rPr/>
        <w:t>Asli Daerah (PAD) yang dijalankan antara lain:</w:t>
      </w:r>
      <w:r>
        <w:rPr>
          <w:spacing w:val="40"/>
        </w:rPr>
        <w:t> </w:t>
      </w:r>
      <w:r>
        <w:rPr/>
        <w:t>(1) Melakukan</w:t>
      </w:r>
      <w:r>
        <w:rPr>
          <w:spacing w:val="40"/>
        </w:rPr>
        <w:t> </w:t>
      </w:r>
      <w:r>
        <w:rPr/>
        <w:t>sosialisasi dan publikasi tentang pelayanan dan kesadaran masyarakat akan pentingnya pajak</w:t>
      </w:r>
      <w:r>
        <w:rPr>
          <w:spacing w:val="-12"/>
        </w:rPr>
        <w:t> </w:t>
      </w:r>
      <w:r>
        <w:rPr/>
        <w:t>daerah;</w:t>
      </w:r>
      <w:r>
        <w:rPr>
          <w:spacing w:val="-12"/>
        </w:rPr>
        <w:t> </w:t>
      </w:r>
      <w:r>
        <w:rPr/>
        <w:t>(2)</w:t>
      </w:r>
      <w:r>
        <w:rPr>
          <w:spacing w:val="-13"/>
        </w:rPr>
        <w:t> </w:t>
      </w:r>
      <w:r>
        <w:rPr/>
        <w:t>Meningkatkan</w:t>
      </w:r>
      <w:r>
        <w:rPr>
          <w:spacing w:val="-12"/>
        </w:rPr>
        <w:t> </w:t>
      </w:r>
      <w:r>
        <w:rPr/>
        <w:t>penggunaan</w:t>
      </w:r>
      <w:r>
        <w:rPr>
          <w:spacing w:val="-13"/>
        </w:rPr>
        <w:t> </w:t>
      </w:r>
      <w:r>
        <w:rPr/>
        <w:t>teknologi</w:t>
      </w:r>
      <w:r>
        <w:rPr>
          <w:spacing w:val="-13"/>
        </w:rPr>
        <w:t> </w:t>
      </w:r>
      <w:r>
        <w:rPr/>
        <w:t>informasi</w:t>
      </w:r>
      <w:r>
        <w:rPr>
          <w:spacing w:val="-12"/>
        </w:rPr>
        <w:t> </w:t>
      </w:r>
      <w:r>
        <w:rPr/>
        <w:t>yang</w:t>
      </w:r>
      <w:r>
        <w:rPr>
          <w:spacing w:val="-10"/>
        </w:rPr>
        <w:t> </w:t>
      </w:r>
      <w:r>
        <w:rPr/>
        <w:t>lebih baik sehingga meningkatkan kemampuan dalam pendataan potensi pajak dan retribusi yang lebih valid; dan (3) Menyederhanakan tahapan birokrasi serta peningkatan layanan online dalam hal pembayaran pajak sehingga dapat menarik minat masyarakat untuk membayar pajak.</w:t>
      </w:r>
    </w:p>
    <w:p>
      <w:pPr>
        <w:pStyle w:val="BodyText"/>
        <w:spacing w:line="360" w:lineRule="auto" w:before="2"/>
        <w:ind w:left="566" w:right="702" w:firstLine="571"/>
      </w:pPr>
      <w:r>
        <w:rPr/>
        <w:t>Selanjutnya Syahriza (2021), menyebutkan strategi yang dapat dilakukan dalam pengelolaan pajak dan retribusi daerah, antara lain: (1) Memberikan</w:t>
      </w:r>
      <w:r>
        <w:rPr>
          <w:spacing w:val="40"/>
        </w:rPr>
        <w:t> </w:t>
      </w:r>
      <w:r>
        <w:rPr/>
        <w:t>Stimulus</w:t>
      </w:r>
      <w:r>
        <w:rPr>
          <w:spacing w:val="40"/>
        </w:rPr>
        <w:t> </w:t>
      </w:r>
      <w:r>
        <w:rPr/>
        <w:t>Pemungutan</w:t>
      </w:r>
      <w:r>
        <w:rPr>
          <w:spacing w:val="40"/>
        </w:rPr>
        <w:t> </w:t>
      </w:r>
      <w:r>
        <w:rPr/>
        <w:t>dan</w:t>
      </w:r>
      <w:r>
        <w:rPr>
          <w:spacing w:val="40"/>
        </w:rPr>
        <w:t> </w:t>
      </w:r>
      <w:r>
        <w:rPr/>
        <w:t>Penyetoran</w:t>
      </w:r>
      <w:r>
        <w:rPr>
          <w:spacing w:val="40"/>
        </w:rPr>
        <w:t> </w:t>
      </w:r>
      <w:r>
        <w:rPr/>
        <w:t>Pajak</w:t>
      </w:r>
      <w:r>
        <w:rPr>
          <w:spacing w:val="40"/>
        </w:rPr>
        <w:t> </w:t>
      </w:r>
      <w:r>
        <w:rPr/>
        <w:t>Hotel</w:t>
      </w:r>
      <w:r>
        <w:rPr>
          <w:spacing w:val="40"/>
        </w:rPr>
        <w:t> </w:t>
      </w:r>
      <w:r>
        <w:rPr/>
        <w:t>dan</w:t>
      </w:r>
    </w:p>
    <w:p>
      <w:pPr>
        <w:pStyle w:val="BodyText"/>
        <w:spacing w:after="0" w:line="360" w:lineRule="auto"/>
        <w:sectPr>
          <w:pgSz w:w="11910" w:h="16840"/>
          <w:pgMar w:header="0" w:footer="1186" w:top="1580" w:bottom="1380" w:left="1700" w:right="992"/>
        </w:sectPr>
      </w:pPr>
    </w:p>
    <w:p>
      <w:pPr>
        <w:pStyle w:val="BodyText"/>
        <w:spacing w:line="360" w:lineRule="auto" w:before="82"/>
        <w:ind w:left="566" w:right="697"/>
      </w:pPr>
      <w:r>
        <w:rPr/>
        <w:t>Pajak dengan discount 75% untuk pajak hotel, dan 50% untuk pajak restoran;</w:t>
      </w:r>
      <w:r>
        <w:rPr>
          <w:spacing w:val="-17"/>
        </w:rPr>
        <w:t> </w:t>
      </w:r>
      <w:r>
        <w:rPr/>
        <w:t>(2)</w:t>
      </w:r>
      <w:r>
        <w:rPr>
          <w:spacing w:val="-16"/>
        </w:rPr>
        <w:t> </w:t>
      </w:r>
      <w:r>
        <w:rPr/>
        <w:t>Evaluasi</w:t>
      </w:r>
      <w:r>
        <w:rPr>
          <w:spacing w:val="-17"/>
        </w:rPr>
        <w:t> </w:t>
      </w:r>
      <w:r>
        <w:rPr/>
        <w:t>terhadap</w:t>
      </w:r>
      <w:r>
        <w:rPr>
          <w:spacing w:val="-16"/>
        </w:rPr>
        <w:t> </w:t>
      </w:r>
      <w:r>
        <w:rPr/>
        <w:t>pemungutan</w:t>
      </w:r>
      <w:r>
        <w:rPr>
          <w:spacing w:val="-16"/>
        </w:rPr>
        <w:t> </w:t>
      </w:r>
      <w:r>
        <w:rPr/>
        <w:t>pajak</w:t>
      </w:r>
      <w:r>
        <w:rPr>
          <w:spacing w:val="-16"/>
        </w:rPr>
        <w:t> </w:t>
      </w:r>
      <w:r>
        <w:rPr/>
        <w:t>restoran</w:t>
      </w:r>
      <w:r>
        <w:rPr>
          <w:spacing w:val="-16"/>
        </w:rPr>
        <w:t> </w:t>
      </w:r>
      <w:r>
        <w:rPr/>
        <w:t>yang</w:t>
      </w:r>
      <w:r>
        <w:rPr>
          <w:spacing w:val="-17"/>
        </w:rPr>
        <w:t> </w:t>
      </w:r>
      <w:r>
        <w:rPr/>
        <w:t>tidak</w:t>
      </w:r>
      <w:r>
        <w:rPr>
          <w:spacing w:val="-15"/>
        </w:rPr>
        <w:t> </w:t>
      </w:r>
      <w:r>
        <w:rPr/>
        <w:t>sesuai dengan</w:t>
      </w:r>
      <w:r>
        <w:rPr>
          <w:spacing w:val="-14"/>
        </w:rPr>
        <w:t> </w:t>
      </w:r>
      <w:r>
        <w:rPr/>
        <w:t>potensinya</w:t>
      </w:r>
      <w:r>
        <w:rPr>
          <w:spacing w:val="-15"/>
        </w:rPr>
        <w:t> </w:t>
      </w:r>
      <w:r>
        <w:rPr/>
        <w:t>dengan</w:t>
      </w:r>
      <w:r>
        <w:rPr>
          <w:spacing w:val="-15"/>
        </w:rPr>
        <w:t> </w:t>
      </w:r>
      <w:r>
        <w:rPr/>
        <w:t>penetapan</w:t>
      </w:r>
      <w:r>
        <w:rPr>
          <w:spacing w:val="-15"/>
        </w:rPr>
        <w:t> </w:t>
      </w:r>
      <w:r>
        <w:rPr/>
        <w:t>secara</w:t>
      </w:r>
      <w:r>
        <w:rPr>
          <w:spacing w:val="-16"/>
        </w:rPr>
        <w:t> </w:t>
      </w:r>
      <w:r>
        <w:rPr/>
        <w:t>jabatan</w:t>
      </w:r>
      <w:r>
        <w:rPr>
          <w:spacing w:val="-15"/>
        </w:rPr>
        <w:t> </w:t>
      </w:r>
      <w:r>
        <w:rPr/>
        <w:t>terhadap</w:t>
      </w:r>
      <w:r>
        <w:rPr>
          <w:spacing w:val="-12"/>
        </w:rPr>
        <w:t> </w:t>
      </w:r>
      <w:r>
        <w:rPr/>
        <w:t>obyek</w:t>
      </w:r>
      <w:r>
        <w:rPr>
          <w:spacing w:val="-13"/>
        </w:rPr>
        <w:t> </w:t>
      </w:r>
      <w:r>
        <w:rPr/>
        <w:t>pajak yang</w:t>
      </w:r>
      <w:r>
        <w:rPr>
          <w:spacing w:val="-1"/>
        </w:rPr>
        <w:t> </w:t>
      </w:r>
      <w:r>
        <w:rPr/>
        <w:t>tidak sesuai tersebut; (3) Peningkatan Tax Clearance dengan BPN dan DPMPTSP</w:t>
      </w:r>
      <w:r>
        <w:rPr>
          <w:spacing w:val="-6"/>
        </w:rPr>
        <w:t> </w:t>
      </w:r>
      <w:r>
        <w:rPr/>
        <w:t>secara </w:t>
      </w:r>
      <w:r>
        <w:rPr>
          <w:i/>
        </w:rPr>
        <w:t>host to host </w:t>
      </w:r>
      <w:r>
        <w:rPr/>
        <w:t>dalam upaya</w:t>
      </w:r>
      <w:r>
        <w:rPr>
          <w:spacing w:val="-4"/>
        </w:rPr>
        <w:t> </w:t>
      </w:r>
      <w:r>
        <w:rPr/>
        <w:t>menurunkan</w:t>
      </w:r>
      <w:r>
        <w:rPr>
          <w:spacing w:val="-8"/>
        </w:rPr>
        <w:t> </w:t>
      </w:r>
      <w:r>
        <w:rPr/>
        <w:t>kepatuhan</w:t>
      </w:r>
      <w:r>
        <w:rPr>
          <w:spacing w:val="-3"/>
        </w:rPr>
        <w:t> </w:t>
      </w:r>
      <w:r>
        <w:rPr/>
        <w:t>wajib pajak</w:t>
      </w:r>
      <w:r>
        <w:rPr>
          <w:spacing w:val="-13"/>
        </w:rPr>
        <w:t> </w:t>
      </w:r>
      <w:r>
        <w:rPr/>
        <w:t>daerah;</w:t>
      </w:r>
      <w:r>
        <w:rPr>
          <w:spacing w:val="-15"/>
        </w:rPr>
        <w:t> </w:t>
      </w:r>
      <w:r>
        <w:rPr/>
        <w:t>(4)</w:t>
      </w:r>
      <w:r>
        <w:rPr>
          <w:spacing w:val="-17"/>
        </w:rPr>
        <w:t> </w:t>
      </w:r>
      <w:r>
        <w:rPr/>
        <w:t>Peningkatan</w:t>
      </w:r>
      <w:r>
        <w:rPr>
          <w:spacing w:val="-16"/>
        </w:rPr>
        <w:t> </w:t>
      </w:r>
      <w:r>
        <w:rPr/>
        <w:t>kualitas</w:t>
      </w:r>
      <w:r>
        <w:rPr>
          <w:spacing w:val="-17"/>
        </w:rPr>
        <w:t> </w:t>
      </w:r>
      <w:r>
        <w:rPr/>
        <w:t>pelayanan</w:t>
      </w:r>
      <w:r>
        <w:rPr>
          <w:spacing w:val="-16"/>
        </w:rPr>
        <w:t> </w:t>
      </w:r>
      <w:r>
        <w:rPr/>
        <w:t>pendaftaran</w:t>
      </w:r>
      <w:r>
        <w:rPr>
          <w:spacing w:val="-16"/>
        </w:rPr>
        <w:t> </w:t>
      </w:r>
      <w:r>
        <w:rPr/>
        <w:t>PBB-P2</w:t>
      </w:r>
      <w:r>
        <w:rPr>
          <w:spacing w:val="-16"/>
        </w:rPr>
        <w:t> </w:t>
      </w:r>
      <w:r>
        <w:rPr/>
        <w:t>dalam jaringan melalui aplikasi Online PBB-P2; (5) Penguatan kerja sama dengan OPD dan InstansiVertikal dalam pemungutan pajak; (6) Pemberian Keringanan Pembayaran Pajak terhadap wajib pajak daerah.</w:t>
      </w:r>
    </w:p>
    <w:p>
      <w:pPr>
        <w:pStyle w:val="BodyText"/>
        <w:spacing w:line="360" w:lineRule="auto" w:before="2"/>
        <w:ind w:left="566" w:right="699" w:firstLine="571"/>
      </w:pPr>
      <w:r>
        <w:rPr/>
        <w:t>Lebih</w:t>
      </w:r>
      <w:r>
        <w:rPr>
          <w:spacing w:val="-16"/>
        </w:rPr>
        <w:t> </w:t>
      </w:r>
      <w:r>
        <w:rPr/>
        <w:t>lanjut</w:t>
      </w:r>
      <w:r>
        <w:rPr>
          <w:spacing w:val="-13"/>
        </w:rPr>
        <w:t> </w:t>
      </w:r>
      <w:r>
        <w:rPr/>
        <w:t>Firdausy</w:t>
      </w:r>
      <w:r>
        <w:rPr>
          <w:spacing w:val="-13"/>
        </w:rPr>
        <w:t> </w:t>
      </w:r>
      <w:r>
        <w:rPr/>
        <w:t>(2018)</w:t>
      </w:r>
      <w:r>
        <w:rPr>
          <w:spacing w:val="-13"/>
        </w:rPr>
        <w:t> </w:t>
      </w:r>
      <w:r>
        <w:rPr/>
        <w:t>menyatakan</w:t>
      </w:r>
      <w:r>
        <w:rPr>
          <w:spacing w:val="-15"/>
        </w:rPr>
        <w:t> </w:t>
      </w:r>
      <w:r>
        <w:rPr/>
        <w:t>bahwa</w:t>
      </w:r>
      <w:r>
        <w:rPr>
          <w:spacing w:val="-16"/>
        </w:rPr>
        <w:t> </w:t>
      </w:r>
      <w:r>
        <w:rPr/>
        <w:t>secara</w:t>
      </w:r>
      <w:r>
        <w:rPr>
          <w:spacing w:val="-14"/>
        </w:rPr>
        <w:t> </w:t>
      </w:r>
      <w:r>
        <w:rPr/>
        <w:t>umum</w:t>
      </w:r>
      <w:r>
        <w:rPr>
          <w:spacing w:val="38"/>
        </w:rPr>
        <w:t> </w:t>
      </w:r>
      <w:r>
        <w:rPr/>
        <w:t>ada</w:t>
      </w:r>
      <w:r>
        <w:rPr>
          <w:spacing w:val="-11"/>
        </w:rPr>
        <w:t> </w:t>
      </w:r>
      <w:r>
        <w:rPr/>
        <w:t>dua cara untuk mengupayakan peningkatan</w:t>
      </w:r>
      <w:r>
        <w:rPr>
          <w:spacing w:val="40"/>
        </w:rPr>
        <w:t> </w:t>
      </w:r>
      <w:r>
        <w:rPr/>
        <w:t>Pendapatan</w:t>
      </w:r>
      <w:r>
        <w:rPr>
          <w:spacing w:val="40"/>
        </w:rPr>
        <w:t> </w:t>
      </w:r>
      <w:r>
        <w:rPr/>
        <w:t>Asli</w:t>
      </w:r>
      <w:r>
        <w:rPr>
          <w:spacing w:val="40"/>
        </w:rPr>
        <w:t> </w:t>
      </w:r>
      <w:r>
        <w:rPr/>
        <w:t>Daerah, yaitu dengan cara intensifikasi dan ekstensifikasi. Salah satu wujud nyata dari kegiatan intensifikasi ini untuk retribusi yaitu menghitung potensi seakurat mungkin, maka target penerimaan bisa mendekati potensinya. Sedangkan ekstensifikasi dilakukan dengan mengadakan penggalian sumber-sumber objek pajak ataupun dengan menjaring wajib pajak baru.</w:t>
      </w:r>
    </w:p>
    <w:p>
      <w:pPr>
        <w:pStyle w:val="BodyText"/>
        <w:spacing w:line="360" w:lineRule="auto" w:before="5"/>
        <w:ind w:left="566" w:right="700" w:firstLine="571"/>
      </w:pPr>
      <w:r>
        <w:rPr/>
        <w:t>Terkait dengan strategi peningkatan pajak dan retribusi daerah Nirzawan (2001) menyatakan bahwa terdapat dua strategi yang dapat diterapkan dalam meningkatkan penerimaan pajak daerah yaitu melalui intensifikasi dan ekstensifikasi.</w:t>
      </w:r>
    </w:p>
    <w:p>
      <w:pPr>
        <w:pStyle w:val="ListParagraph"/>
        <w:numPr>
          <w:ilvl w:val="0"/>
          <w:numId w:val="19"/>
        </w:numPr>
        <w:tabs>
          <w:tab w:pos="992" w:val="left" w:leader="none"/>
        </w:tabs>
        <w:spacing w:line="315" w:lineRule="exact" w:before="0" w:after="0"/>
        <w:ind w:left="992" w:right="0" w:hanging="359"/>
        <w:jc w:val="both"/>
        <w:rPr>
          <w:sz w:val="24"/>
        </w:rPr>
      </w:pPr>
      <w:r>
        <w:rPr>
          <w:sz w:val="24"/>
        </w:rPr>
        <w:t>Strategi</w:t>
      </w:r>
      <w:r>
        <w:rPr>
          <w:spacing w:val="49"/>
          <w:sz w:val="24"/>
        </w:rPr>
        <w:t> </w:t>
      </w:r>
      <w:r>
        <w:rPr>
          <w:spacing w:val="-2"/>
          <w:sz w:val="24"/>
        </w:rPr>
        <w:t>Intensifikasi</w:t>
      </w:r>
    </w:p>
    <w:p>
      <w:pPr>
        <w:pStyle w:val="BodyText"/>
        <w:spacing w:line="360" w:lineRule="auto" w:before="160"/>
        <w:ind w:left="993" w:right="705"/>
      </w:pPr>
      <w:r>
        <w:rPr/>
        <w:t>Strategi intensifikasi dilakukan melalui : (a) Melaksanakan tertib penetapan pajak yang harus dibayar oleh wajib pajak, tertib dalam pemungut-an</w:t>
      </w:r>
      <w:r>
        <w:rPr>
          <w:spacing w:val="-4"/>
        </w:rPr>
        <w:t> </w:t>
      </w:r>
      <w:r>
        <w:rPr/>
        <w:t>kepada wajib</w:t>
      </w:r>
      <w:r>
        <w:rPr>
          <w:spacing w:val="-4"/>
        </w:rPr>
        <w:t> </w:t>
      </w:r>
      <w:r>
        <w:rPr/>
        <w:t>pajak,</w:t>
      </w:r>
      <w:r>
        <w:rPr>
          <w:spacing w:val="-1"/>
        </w:rPr>
        <w:t> </w:t>
      </w:r>
      <w:r>
        <w:rPr/>
        <w:t>tertib</w:t>
      </w:r>
      <w:r>
        <w:rPr>
          <w:spacing w:val="-4"/>
        </w:rPr>
        <w:t> </w:t>
      </w:r>
      <w:r>
        <w:rPr/>
        <w:t>dalam</w:t>
      </w:r>
      <w:r>
        <w:rPr>
          <w:spacing w:val="-3"/>
        </w:rPr>
        <w:t> </w:t>
      </w:r>
      <w:r>
        <w:rPr/>
        <w:t>administrasi</w:t>
      </w:r>
      <w:r>
        <w:rPr>
          <w:spacing w:val="-3"/>
        </w:rPr>
        <w:t> </w:t>
      </w:r>
      <w:r>
        <w:rPr/>
        <w:t>serta</w:t>
      </w:r>
      <w:r>
        <w:rPr>
          <w:spacing w:val="-4"/>
        </w:rPr>
        <w:t> </w:t>
      </w:r>
      <w:r>
        <w:rPr/>
        <w:t>tertib dalam administrasi serta tertib dalam penyetoran; (b) Melaksanakan secara optimal pemungutan pajak dan retribusi daerah sesuai dengan</w:t>
      </w:r>
    </w:p>
    <w:p>
      <w:pPr>
        <w:pStyle w:val="BodyText"/>
        <w:spacing w:after="0" w:line="360" w:lineRule="auto"/>
        <w:sectPr>
          <w:pgSz w:w="11910" w:h="16840"/>
          <w:pgMar w:header="0" w:footer="1186" w:top="1580" w:bottom="1380" w:left="1700" w:right="992"/>
        </w:sectPr>
      </w:pPr>
    </w:p>
    <w:p>
      <w:pPr>
        <w:pStyle w:val="BodyText"/>
        <w:spacing w:line="360" w:lineRule="auto" w:before="82"/>
        <w:ind w:left="993" w:right="705"/>
      </w:pPr>
      <w:r>
        <w:rPr/>
        <w:t>potensi yang obyektif berdasarkan peraturan yang berlaku; (c) Melakukan pengawasan dan pengendalian secara sistematis dan berkelanjutan untuk mengantisipasi terjadinya penyimpangan dalam pelaksanaan pemungutan di lapangan oleh petugas; (d) Membentuk tim satuan tugas (satgas) pada dinas terkait yang bertugas mengawasi pemungutan di lapangan oleh petugas; dan (e) Memberikan insentif (rangsangan) secara khusus kepada aparat pengelola PAD yang dapat melampaui penerimaan dari target yang telah ditetapkan.</w:t>
      </w:r>
    </w:p>
    <w:p>
      <w:pPr>
        <w:pStyle w:val="BodyText"/>
        <w:spacing w:before="162"/>
        <w:jc w:val="left"/>
      </w:pPr>
    </w:p>
    <w:p>
      <w:pPr>
        <w:pStyle w:val="ListParagraph"/>
        <w:numPr>
          <w:ilvl w:val="0"/>
          <w:numId w:val="19"/>
        </w:numPr>
        <w:tabs>
          <w:tab w:pos="992" w:val="left" w:leader="none"/>
        </w:tabs>
        <w:spacing w:line="240" w:lineRule="auto" w:before="0" w:after="0"/>
        <w:ind w:left="992" w:right="0" w:hanging="359"/>
        <w:jc w:val="both"/>
        <w:rPr>
          <w:sz w:val="24"/>
        </w:rPr>
      </w:pPr>
      <w:r>
        <w:rPr>
          <w:sz w:val="24"/>
        </w:rPr>
        <w:t>Strategi</w:t>
      </w:r>
      <w:r>
        <w:rPr>
          <w:spacing w:val="-8"/>
          <w:sz w:val="24"/>
        </w:rPr>
        <w:t> </w:t>
      </w:r>
      <w:r>
        <w:rPr>
          <w:spacing w:val="-2"/>
          <w:sz w:val="24"/>
        </w:rPr>
        <w:t>ekstensifikasi</w:t>
      </w:r>
    </w:p>
    <w:p>
      <w:pPr>
        <w:pStyle w:val="BodyText"/>
        <w:spacing w:line="360" w:lineRule="auto" w:before="161"/>
        <w:ind w:left="993" w:right="701"/>
      </w:pPr>
      <w:r>
        <w:rPr/>
        <w:t>Strategi ekstensifikasi dapat dilakukan melalui: (a) Menyusun program kebijakan dan strategi pengembangan dan menggali obyek pungutan baru yang potensial dengan lebih memprioritaskan kepada retribusi daerah untuk ditetapkan dan dijabarkan dalam peraturan daerah; (b) Meninjau kembali ketentuan tarif dan pengembangan sasaran sesuai dengan peraturan daerah yang ada dan mengkaji ulang peraturan daerah untuk diajukan perubahan; (c) Mengadakan studi banding ke daerah lain guna mendapat informasi terhadap jenis-jenis penerimaan pajak dan retribusi lain yang memungkinkan untuk dikembangkan.</w:t>
      </w:r>
    </w:p>
    <w:p>
      <w:pPr>
        <w:pStyle w:val="BodyText"/>
        <w:jc w:val="left"/>
      </w:pPr>
    </w:p>
    <w:p>
      <w:pPr>
        <w:pStyle w:val="BodyText"/>
        <w:spacing w:before="79"/>
        <w:jc w:val="left"/>
      </w:pPr>
    </w:p>
    <w:p>
      <w:pPr>
        <w:pStyle w:val="Heading2"/>
        <w:numPr>
          <w:ilvl w:val="3"/>
          <w:numId w:val="7"/>
        </w:numPr>
        <w:tabs>
          <w:tab w:pos="1039" w:val="left" w:leader="none"/>
        </w:tabs>
        <w:spacing w:line="240" w:lineRule="auto" w:before="0" w:after="0"/>
        <w:ind w:left="1039" w:right="0" w:hanging="406"/>
        <w:jc w:val="both"/>
      </w:pPr>
      <w:bookmarkStart w:name="_bookmark19" w:id="20"/>
      <w:bookmarkEnd w:id="20"/>
      <w:r>
        <w:rPr>
          <w:b w:val="0"/>
        </w:rPr>
      </w:r>
      <w:r>
        <w:rPr>
          <w:spacing w:val="-2"/>
        </w:rPr>
        <w:t>Pengeluaran</w:t>
      </w:r>
      <w:r>
        <w:rPr/>
        <w:t> </w:t>
      </w:r>
      <w:r>
        <w:rPr>
          <w:spacing w:val="-2"/>
        </w:rPr>
        <w:t>Daerah</w:t>
      </w:r>
    </w:p>
    <w:p>
      <w:pPr>
        <w:pStyle w:val="BodyText"/>
        <w:spacing w:line="360" w:lineRule="auto" w:before="223"/>
        <w:ind w:left="993" w:right="704" w:firstLine="634"/>
      </w:pPr>
      <w:r>
        <w:rPr/>
        <w:t>Hampir sama dengan alasan penggunaan nomenklatur “pendapatan” dan “penerimaan”, untuk anggaran yang dikeluarkan daerah dalam kajian ini digunakan istilah “pengeluaran” bukan “pembiayaan”. Hal ini disebabkan karena kajian ini menggunakan data untuk memprediksikan, bukan memberikan angka definitive terhadap</w:t>
      </w:r>
    </w:p>
    <w:p>
      <w:pPr>
        <w:pStyle w:val="BodyText"/>
        <w:spacing w:after="0" w:line="360" w:lineRule="auto"/>
        <w:sectPr>
          <w:pgSz w:w="11910" w:h="16840"/>
          <w:pgMar w:header="0" w:footer="1186" w:top="1580" w:bottom="1380" w:left="1700" w:right="992"/>
        </w:sectPr>
      </w:pPr>
    </w:p>
    <w:p>
      <w:pPr>
        <w:pStyle w:val="BodyText"/>
        <w:spacing w:line="360" w:lineRule="auto" w:before="82"/>
        <w:ind w:left="993" w:right="712"/>
      </w:pPr>
      <w:r>
        <w:rPr/>
        <w:t>anggaran yang dikeluarkan oleh pemerintah daerah Kabupaten Kutai </w:t>
      </w:r>
      <w:r>
        <w:rPr>
          <w:spacing w:val="-2"/>
        </w:rPr>
        <w:t>Kartanegara.</w:t>
      </w:r>
    </w:p>
    <w:p>
      <w:pPr>
        <w:pStyle w:val="BodyText"/>
        <w:spacing w:line="360" w:lineRule="auto" w:before="3"/>
        <w:ind w:left="993" w:right="699" w:firstLine="566"/>
      </w:pPr>
      <w:r>
        <w:rPr/>
        <w:t>Penerimaan pembiayaan daerah adalah semua penerimaan yang perlu dibayar kembali dan/atau pengeluaran yang akan diterima kembali, baik pada tahun anggaran yang berjalan maupun pada tahun anggaran berikutnya (Kemenkeu, 2017). Penerimaan pembiayaan daerah</w:t>
      </w:r>
      <w:r>
        <w:rPr>
          <w:spacing w:val="-6"/>
        </w:rPr>
        <w:t> </w:t>
      </w:r>
      <w:r>
        <w:rPr/>
        <w:t>adalah</w:t>
      </w:r>
      <w:r>
        <w:rPr>
          <w:spacing w:val="-6"/>
        </w:rPr>
        <w:t> </w:t>
      </w:r>
      <w:r>
        <w:rPr/>
        <w:t>semua</w:t>
      </w:r>
      <w:r>
        <w:rPr>
          <w:spacing w:val="-6"/>
        </w:rPr>
        <w:t> </w:t>
      </w:r>
      <w:r>
        <w:rPr/>
        <w:t>penerimaan</w:t>
      </w:r>
      <w:r>
        <w:rPr>
          <w:spacing w:val="-6"/>
        </w:rPr>
        <w:t> </w:t>
      </w:r>
      <w:r>
        <w:rPr/>
        <w:t>Rekening</w:t>
      </w:r>
      <w:r>
        <w:rPr>
          <w:spacing w:val="-7"/>
        </w:rPr>
        <w:t> </w:t>
      </w:r>
      <w:r>
        <w:rPr/>
        <w:t>Kas</w:t>
      </w:r>
      <w:r>
        <w:rPr>
          <w:spacing w:val="-6"/>
        </w:rPr>
        <w:t> </w:t>
      </w:r>
      <w:r>
        <w:rPr/>
        <w:t>Umum</w:t>
      </w:r>
      <w:r>
        <w:rPr>
          <w:spacing w:val="-6"/>
        </w:rPr>
        <w:t> </w:t>
      </w:r>
      <w:r>
        <w:rPr/>
        <w:t>Negara/Daerah yang</w:t>
      </w:r>
      <w:r>
        <w:rPr>
          <w:spacing w:val="-10"/>
        </w:rPr>
        <w:t> </w:t>
      </w:r>
      <w:r>
        <w:rPr/>
        <w:t>berasal</w:t>
      </w:r>
      <w:r>
        <w:rPr>
          <w:spacing w:val="-8"/>
        </w:rPr>
        <w:t> </w:t>
      </w:r>
      <w:r>
        <w:rPr/>
        <w:t>dari</w:t>
      </w:r>
      <w:r>
        <w:rPr>
          <w:spacing w:val="-13"/>
        </w:rPr>
        <w:t> </w:t>
      </w:r>
      <w:r>
        <w:rPr/>
        <w:t>penerimaan</w:t>
      </w:r>
      <w:r>
        <w:rPr>
          <w:spacing w:val="-9"/>
        </w:rPr>
        <w:t> </w:t>
      </w:r>
      <w:r>
        <w:rPr/>
        <w:t>pinjaman,</w:t>
      </w:r>
      <w:r>
        <w:rPr>
          <w:spacing w:val="-7"/>
        </w:rPr>
        <w:t> </w:t>
      </w:r>
      <w:r>
        <w:rPr/>
        <w:t>penjualan</w:t>
      </w:r>
      <w:r>
        <w:rPr>
          <w:spacing w:val="-9"/>
        </w:rPr>
        <w:t> </w:t>
      </w:r>
      <w:r>
        <w:rPr/>
        <w:t>obligasi</w:t>
      </w:r>
      <w:r>
        <w:rPr>
          <w:spacing w:val="-8"/>
        </w:rPr>
        <w:t> </w:t>
      </w:r>
      <w:r>
        <w:rPr/>
        <w:t>pemerintah, hasil privatisasi perusahaan negara/daerah, penerimaan kembali pinjaman yang diberikan kepada fihak ketiga, penjualan investasi permanen lainnya, dan pencairan dana cadangan. Sumber-sumber pembiayaan daserah meliputi: (a) SiLPA; (b) Pencairan Dana Cadangan;</w:t>
      </w:r>
    </w:p>
    <w:p>
      <w:pPr>
        <w:pStyle w:val="BodyText"/>
        <w:spacing w:line="360" w:lineRule="auto" w:before="3"/>
        <w:ind w:left="993" w:right="706"/>
      </w:pPr>
      <w:r>
        <w:rPr/>
        <w:t>(c) Hasil Penjualan Kekayaan Daerah yang Dipisahkan; (d) Penerimaan Pinjaman Daerah; (e) Penerimaan Kembali Pemberian Pinjaman; dan (f) Penerimaan Pembiayaan Lainnya.</w:t>
      </w:r>
    </w:p>
    <w:p>
      <w:pPr>
        <w:pStyle w:val="BodyText"/>
        <w:spacing w:line="360" w:lineRule="auto"/>
        <w:ind w:left="993" w:right="699" w:firstLine="566"/>
      </w:pPr>
      <w:r>
        <w:rPr/>
        <w:t>Sisa Lebih Perhitungan Anggaran (SiLPA) Tahun Sebelumnya merupakan</w:t>
      </w:r>
      <w:r>
        <w:rPr>
          <w:spacing w:val="-17"/>
        </w:rPr>
        <w:t> </w:t>
      </w:r>
      <w:r>
        <w:rPr/>
        <w:t>selisih</w:t>
      </w:r>
      <w:r>
        <w:rPr>
          <w:spacing w:val="-16"/>
        </w:rPr>
        <w:t> </w:t>
      </w:r>
      <w:r>
        <w:rPr/>
        <w:t>lebih</w:t>
      </w:r>
      <w:r>
        <w:rPr>
          <w:spacing w:val="-17"/>
        </w:rPr>
        <w:t> </w:t>
      </w:r>
      <w:r>
        <w:rPr/>
        <w:t>realisasi</w:t>
      </w:r>
      <w:r>
        <w:rPr>
          <w:spacing w:val="-16"/>
        </w:rPr>
        <w:t> </w:t>
      </w:r>
      <w:r>
        <w:rPr/>
        <w:t>penerimaan</w:t>
      </w:r>
      <w:r>
        <w:rPr>
          <w:spacing w:val="-17"/>
        </w:rPr>
        <w:t> </w:t>
      </w:r>
      <w:r>
        <w:rPr/>
        <w:t>dan</w:t>
      </w:r>
      <w:r>
        <w:rPr>
          <w:spacing w:val="-16"/>
        </w:rPr>
        <w:t> </w:t>
      </w:r>
      <w:r>
        <w:rPr/>
        <w:t>pengeluaran</w:t>
      </w:r>
      <w:r>
        <w:rPr>
          <w:spacing w:val="-17"/>
        </w:rPr>
        <w:t> </w:t>
      </w:r>
      <w:r>
        <w:rPr/>
        <w:t>anggaran pada periode tahun sebelumnya, sedangkan Sisa Lebih Pembiayaan Anggaran</w:t>
      </w:r>
      <w:r>
        <w:rPr>
          <w:spacing w:val="-3"/>
        </w:rPr>
        <w:t> </w:t>
      </w:r>
      <w:r>
        <w:rPr/>
        <w:t>(SILPA)</w:t>
      </w:r>
      <w:r>
        <w:rPr>
          <w:spacing w:val="-2"/>
        </w:rPr>
        <w:t> </w:t>
      </w:r>
      <w:r>
        <w:rPr/>
        <w:t>Tahun</w:t>
      </w:r>
      <w:r>
        <w:rPr>
          <w:spacing w:val="-3"/>
        </w:rPr>
        <w:t> </w:t>
      </w:r>
      <w:r>
        <w:rPr/>
        <w:t>Berkenaan</w:t>
      </w:r>
      <w:r>
        <w:rPr>
          <w:spacing w:val="-3"/>
        </w:rPr>
        <w:t> </w:t>
      </w:r>
      <w:r>
        <w:rPr/>
        <w:t>adalah</w:t>
      </w:r>
      <w:r>
        <w:rPr>
          <w:spacing w:val="-3"/>
        </w:rPr>
        <w:t> </w:t>
      </w:r>
      <w:r>
        <w:rPr/>
        <w:t>selisih</w:t>
      </w:r>
      <w:r>
        <w:rPr>
          <w:spacing w:val="-3"/>
        </w:rPr>
        <w:t> </w:t>
      </w:r>
      <w:r>
        <w:rPr/>
        <w:t>antara surplus/defisit anggaran</w:t>
      </w:r>
      <w:r>
        <w:rPr>
          <w:spacing w:val="-10"/>
        </w:rPr>
        <w:t> </w:t>
      </w:r>
      <w:r>
        <w:rPr/>
        <w:t>dengan</w:t>
      </w:r>
      <w:r>
        <w:rPr>
          <w:spacing w:val="-10"/>
        </w:rPr>
        <w:t> </w:t>
      </w:r>
      <w:r>
        <w:rPr/>
        <w:t>pembiayaan</w:t>
      </w:r>
      <w:r>
        <w:rPr>
          <w:spacing w:val="-11"/>
        </w:rPr>
        <w:t> </w:t>
      </w:r>
      <w:r>
        <w:rPr/>
        <w:t>netto</w:t>
      </w:r>
      <w:r>
        <w:rPr>
          <w:spacing w:val="-11"/>
        </w:rPr>
        <w:t> </w:t>
      </w:r>
      <w:r>
        <w:rPr/>
        <w:t>di</w:t>
      </w:r>
      <w:r>
        <w:rPr>
          <w:spacing w:val="-15"/>
        </w:rPr>
        <w:t> </w:t>
      </w:r>
      <w:r>
        <w:rPr/>
        <w:t>tahun</w:t>
      </w:r>
      <w:r>
        <w:rPr>
          <w:spacing w:val="-10"/>
        </w:rPr>
        <w:t> </w:t>
      </w:r>
      <w:r>
        <w:rPr/>
        <w:t>berkenaan.Adapun faktor yang mendorong terjadinya SiLPA antara lain pelampauan target pendapatan daerah dan penyerapan belanja daerah yang kurang optimal. Nilai SiLPA pada tahun sebelumnya akan digunakan dalam APBD tahun berjalan sebagai salah satu sumber penerimaan pembiayaan terbesar dalam rangka menutup defisit daerah.</w:t>
      </w:r>
    </w:p>
    <w:p>
      <w:pPr>
        <w:pStyle w:val="BodyText"/>
        <w:spacing w:before="3"/>
        <w:ind w:left="1560"/>
      </w:pPr>
      <w:r>
        <w:rPr/>
        <w:t>Pengeluaran</w:t>
      </w:r>
      <w:r>
        <w:rPr>
          <w:spacing w:val="52"/>
          <w:w w:val="150"/>
        </w:rPr>
        <w:t> </w:t>
      </w:r>
      <w:r>
        <w:rPr/>
        <w:t>daerah</w:t>
      </w:r>
      <w:r>
        <w:rPr>
          <w:spacing w:val="52"/>
          <w:w w:val="150"/>
        </w:rPr>
        <w:t> </w:t>
      </w:r>
      <w:r>
        <w:rPr/>
        <w:t>pada</w:t>
      </w:r>
      <w:r>
        <w:rPr>
          <w:spacing w:val="52"/>
          <w:w w:val="150"/>
        </w:rPr>
        <w:t> </w:t>
      </w:r>
      <w:r>
        <w:rPr/>
        <w:t>hakekatnya</w:t>
      </w:r>
      <w:r>
        <w:rPr>
          <w:spacing w:val="51"/>
          <w:w w:val="150"/>
        </w:rPr>
        <w:t> </w:t>
      </w:r>
      <w:r>
        <w:rPr/>
        <w:t>adalah</w:t>
      </w:r>
      <w:r>
        <w:rPr>
          <w:spacing w:val="48"/>
          <w:w w:val="150"/>
        </w:rPr>
        <w:t> </w:t>
      </w:r>
      <w:r>
        <w:rPr/>
        <w:t>belanja</w:t>
      </w:r>
      <w:r>
        <w:rPr>
          <w:spacing w:val="47"/>
          <w:w w:val="150"/>
        </w:rPr>
        <w:t> </w:t>
      </w:r>
      <w:r>
        <w:rPr>
          <w:spacing w:val="-2"/>
        </w:rPr>
        <w:t>daerah.</w:t>
      </w:r>
    </w:p>
    <w:p>
      <w:pPr>
        <w:pStyle w:val="BodyText"/>
        <w:spacing w:before="156"/>
        <w:ind w:left="993"/>
      </w:pPr>
      <w:r>
        <w:rPr/>
        <w:t>Pendapatan</w:t>
      </w:r>
      <w:r>
        <w:rPr>
          <w:spacing w:val="-1"/>
        </w:rPr>
        <w:t> </w:t>
      </w:r>
      <w:r>
        <w:rPr/>
        <w:t>daerah</w:t>
      </w:r>
      <w:r>
        <w:rPr>
          <w:spacing w:val="-1"/>
        </w:rPr>
        <w:t> </w:t>
      </w:r>
      <w:r>
        <w:rPr/>
        <w:t>bersumber</w:t>
      </w:r>
      <w:r>
        <w:rPr>
          <w:spacing w:val="2"/>
        </w:rPr>
        <w:t> </w:t>
      </w:r>
      <w:r>
        <w:rPr/>
        <w:t>dari</w:t>
      </w:r>
      <w:r>
        <w:rPr>
          <w:spacing w:val="-1"/>
        </w:rPr>
        <w:t> </w:t>
      </w:r>
      <w:r>
        <w:rPr/>
        <w:t>Pendapatan Asli</w:t>
      </w:r>
      <w:r>
        <w:rPr>
          <w:spacing w:val="-1"/>
        </w:rPr>
        <w:t> </w:t>
      </w:r>
      <w:r>
        <w:rPr/>
        <w:t>Daerah,</w:t>
      </w:r>
      <w:r>
        <w:rPr>
          <w:spacing w:val="1"/>
        </w:rPr>
        <w:t> </w:t>
      </w:r>
      <w:r>
        <w:rPr>
          <w:spacing w:val="-4"/>
        </w:rPr>
        <w:t>Dana</w:t>
      </w:r>
    </w:p>
    <w:p>
      <w:pPr>
        <w:pStyle w:val="BodyText"/>
        <w:spacing w:after="0"/>
        <w:sectPr>
          <w:pgSz w:w="11910" w:h="16840"/>
          <w:pgMar w:header="0" w:footer="1186" w:top="1580" w:bottom="1380" w:left="1700" w:right="992"/>
        </w:sectPr>
      </w:pPr>
    </w:p>
    <w:p>
      <w:pPr>
        <w:pStyle w:val="BodyText"/>
        <w:spacing w:line="360" w:lineRule="auto" w:before="82"/>
        <w:ind w:left="993" w:right="699"/>
      </w:pPr>
      <w:r>
        <w:rPr/>
        <w:t>Perimbangan</w:t>
      </w:r>
      <w:r>
        <w:rPr>
          <w:spacing w:val="-17"/>
        </w:rPr>
        <w:t> </w:t>
      </w:r>
      <w:r>
        <w:rPr/>
        <w:t>dan</w:t>
      </w:r>
      <w:r>
        <w:rPr>
          <w:spacing w:val="-16"/>
        </w:rPr>
        <w:t> </w:t>
      </w:r>
      <w:r>
        <w:rPr/>
        <w:t>Lain</w:t>
      </w:r>
      <w:r>
        <w:rPr>
          <w:spacing w:val="-17"/>
        </w:rPr>
        <w:t> </w:t>
      </w:r>
      <w:r>
        <w:rPr/>
        <w:t>lain</w:t>
      </w:r>
      <w:r>
        <w:rPr>
          <w:spacing w:val="-16"/>
        </w:rPr>
        <w:t> </w:t>
      </w:r>
      <w:r>
        <w:rPr/>
        <w:t>PAD</w:t>
      </w:r>
      <w:r>
        <w:rPr>
          <w:spacing w:val="-16"/>
        </w:rPr>
        <w:t> </w:t>
      </w:r>
      <w:r>
        <w:rPr/>
        <w:t>yang</w:t>
      </w:r>
      <w:r>
        <w:rPr>
          <w:spacing w:val="-17"/>
        </w:rPr>
        <w:t> </w:t>
      </w:r>
      <w:r>
        <w:rPr/>
        <w:t>sah,</w:t>
      </w:r>
      <w:r>
        <w:rPr>
          <w:spacing w:val="-14"/>
        </w:rPr>
        <w:t> </w:t>
      </w:r>
      <w:r>
        <w:rPr/>
        <w:t>kemudian</w:t>
      </w:r>
      <w:r>
        <w:rPr>
          <w:spacing w:val="-16"/>
        </w:rPr>
        <w:t> </w:t>
      </w:r>
      <w:r>
        <w:rPr/>
        <w:t>pendapatan</w:t>
      </w:r>
      <w:r>
        <w:rPr>
          <w:spacing w:val="-16"/>
        </w:rPr>
        <w:t> </w:t>
      </w:r>
      <w:r>
        <w:rPr/>
        <w:t>daerah tersebut oleh daerah dipergunakan untuk membiayai belanja daerah. Belanja daerah (Permendagri No. 13 Tahun 2006) adalah semua kewajiban</w:t>
      </w:r>
      <w:r>
        <w:rPr>
          <w:spacing w:val="-2"/>
        </w:rPr>
        <w:t> </w:t>
      </w:r>
      <w:r>
        <w:rPr/>
        <w:t>daerah</w:t>
      </w:r>
      <w:r>
        <w:rPr>
          <w:spacing w:val="-2"/>
        </w:rPr>
        <w:t> </w:t>
      </w:r>
      <w:r>
        <w:rPr/>
        <w:t>yang</w:t>
      </w:r>
      <w:r>
        <w:rPr>
          <w:spacing w:val="-3"/>
        </w:rPr>
        <w:t> </w:t>
      </w:r>
      <w:r>
        <w:rPr/>
        <w:t>diakui</w:t>
      </w:r>
      <w:r>
        <w:rPr>
          <w:spacing w:val="-1"/>
        </w:rPr>
        <w:t> </w:t>
      </w:r>
      <w:r>
        <w:rPr/>
        <w:t>sebagai</w:t>
      </w:r>
      <w:r>
        <w:rPr>
          <w:spacing w:val="-1"/>
        </w:rPr>
        <w:t> </w:t>
      </w:r>
      <w:r>
        <w:rPr/>
        <w:t>pengurang</w:t>
      </w:r>
      <w:r>
        <w:rPr>
          <w:spacing w:val="-3"/>
        </w:rPr>
        <w:t> </w:t>
      </w:r>
      <w:r>
        <w:rPr/>
        <w:t>nilai</w:t>
      </w:r>
      <w:r>
        <w:rPr>
          <w:spacing w:val="-1"/>
        </w:rPr>
        <w:t> </w:t>
      </w:r>
      <w:r>
        <w:rPr/>
        <w:t>kekayaan</w:t>
      </w:r>
      <w:r>
        <w:rPr>
          <w:spacing w:val="-2"/>
        </w:rPr>
        <w:t> </w:t>
      </w:r>
      <w:r>
        <w:rPr/>
        <w:t>bersih dalam periode tahun anggaran yang bersangkutan. Belanja daerah meliputi semua pengeluaran dari Rekening Kas Umum Daerah, yang mengurangi ekuitas dana lancar, dimana merupakan kewajiban daerah dalam</w:t>
      </w:r>
      <w:r>
        <w:rPr>
          <w:spacing w:val="-17"/>
        </w:rPr>
        <w:t> </w:t>
      </w:r>
      <w:r>
        <w:rPr/>
        <w:t>satu</w:t>
      </w:r>
      <w:r>
        <w:rPr>
          <w:spacing w:val="-16"/>
        </w:rPr>
        <w:t> </w:t>
      </w:r>
      <w:r>
        <w:rPr/>
        <w:t>tahun</w:t>
      </w:r>
      <w:r>
        <w:rPr>
          <w:spacing w:val="-17"/>
        </w:rPr>
        <w:t> </w:t>
      </w:r>
      <w:r>
        <w:rPr/>
        <w:t>anggaran.</w:t>
      </w:r>
      <w:r>
        <w:rPr>
          <w:spacing w:val="-15"/>
        </w:rPr>
        <w:t> </w:t>
      </w:r>
      <w:r>
        <w:rPr/>
        <w:t>Belanja</w:t>
      </w:r>
      <w:r>
        <w:rPr>
          <w:spacing w:val="-16"/>
        </w:rPr>
        <w:t> </w:t>
      </w:r>
      <w:r>
        <w:rPr/>
        <w:t>daerah</w:t>
      </w:r>
      <w:r>
        <w:rPr>
          <w:spacing w:val="-15"/>
        </w:rPr>
        <w:t> </w:t>
      </w:r>
      <w:r>
        <w:rPr/>
        <w:t>dipergunakan</w:t>
      </w:r>
      <w:r>
        <w:rPr>
          <w:spacing w:val="-16"/>
        </w:rPr>
        <w:t> </w:t>
      </w:r>
      <w:r>
        <w:rPr/>
        <w:t>dalam</w:t>
      </w:r>
      <w:r>
        <w:rPr>
          <w:spacing w:val="-15"/>
        </w:rPr>
        <w:t> </w:t>
      </w:r>
      <w:r>
        <w:rPr/>
        <w:t>rangka pelaksanaan urusan pemerintahan yang menjadi kewenangan provinsi atau kabupaten/kota yang terdiri atas urusan wajib dan urusan pilihan yang ditetapkan dengan ketentuan perundang-undangan.</w:t>
      </w:r>
    </w:p>
    <w:p>
      <w:pPr>
        <w:pStyle w:val="BodyText"/>
        <w:spacing w:line="360" w:lineRule="auto" w:before="5"/>
        <w:ind w:left="993" w:right="699" w:firstLine="658"/>
      </w:pPr>
      <w:r>
        <w:rPr/>
        <w:t>Belanja daerah jika dikaitkan dengan program dan kegiatannya diklasifikasikan menjadi dua jenis yaitu belanja langsung merupakan belanja yang dianggarkan terkait secara langsung dengan pelaksanaan program dan kegiatan. Belanja tersebut dilaksanakan untuk menjalankan program dan kegiatan dan pemerintah daerah dan dianggarkan pada belanja SKPD. Yang termasuk dalam belanja langsunga</w:t>
      </w:r>
      <w:r>
        <w:rPr>
          <w:spacing w:val="-16"/>
        </w:rPr>
        <w:t> </w:t>
      </w:r>
      <w:r>
        <w:rPr/>
        <w:t>diantaranya</w:t>
      </w:r>
      <w:r>
        <w:rPr>
          <w:spacing w:val="-12"/>
        </w:rPr>
        <w:t> </w:t>
      </w:r>
      <w:r>
        <w:rPr/>
        <w:t>adalah:</w:t>
      </w:r>
      <w:r>
        <w:rPr>
          <w:spacing w:val="-9"/>
        </w:rPr>
        <w:t> </w:t>
      </w:r>
      <w:r>
        <w:rPr/>
        <w:t>belanja</w:t>
      </w:r>
      <w:r>
        <w:rPr>
          <w:spacing w:val="-17"/>
        </w:rPr>
        <w:t> </w:t>
      </w:r>
      <w:r>
        <w:rPr/>
        <w:t>pegawai</w:t>
      </w:r>
      <w:r>
        <w:rPr>
          <w:spacing w:val="-9"/>
        </w:rPr>
        <w:t> </w:t>
      </w:r>
      <w:r>
        <w:rPr/>
        <w:t>(upah</w:t>
      </w:r>
      <w:r>
        <w:rPr>
          <w:spacing w:val="-12"/>
        </w:rPr>
        <w:t> </w:t>
      </w:r>
      <w:r>
        <w:rPr/>
        <w:t>dan</w:t>
      </w:r>
      <w:r>
        <w:rPr>
          <w:spacing w:val="-12"/>
        </w:rPr>
        <w:t> </w:t>
      </w:r>
      <w:r>
        <w:rPr/>
        <w:t>honorarium), belanja barang dan jasa dan belanja modal. Belanja tidak langsung, belanja yang dianggarkan tidak terkait secara langsung dengan pelaksanaan program dan kegiatan. Terdiri dari belanja pegawai (gaji dan tunjangan, uang representasi), belanja bunga, belanja subsidi, belanja hibah, belanja bantuan sosial, belanja bagi hasil, belanja bantuan keuangan dan belanja tidak terduga. Belanja tidak langsung hanya dapat dianggarkan oleh SKPKD.</w:t>
      </w:r>
    </w:p>
    <w:p>
      <w:pPr>
        <w:pStyle w:val="BodyText"/>
        <w:spacing w:line="360" w:lineRule="auto" w:before="4"/>
        <w:ind w:left="993" w:right="700" w:firstLine="691"/>
      </w:pPr>
      <w:r>
        <w:rPr/>
        <w:t>Belanja daerah bertujuan untuk memajukan daerah dan mensejahterakan masyarakatnya, semakin banyak pendapatan daerah yang</w:t>
      </w:r>
      <w:r>
        <w:rPr>
          <w:spacing w:val="-16"/>
        </w:rPr>
        <w:t> </w:t>
      </w:r>
      <w:r>
        <w:rPr/>
        <w:t>mampu</w:t>
      </w:r>
      <w:r>
        <w:rPr>
          <w:spacing w:val="-16"/>
        </w:rPr>
        <w:t> </w:t>
      </w:r>
      <w:r>
        <w:rPr/>
        <w:t>diperoleh</w:t>
      </w:r>
      <w:r>
        <w:rPr>
          <w:spacing w:val="-15"/>
        </w:rPr>
        <w:t> </w:t>
      </w:r>
      <w:r>
        <w:rPr/>
        <w:t>maka</w:t>
      </w:r>
      <w:r>
        <w:rPr>
          <w:spacing w:val="-15"/>
        </w:rPr>
        <w:t> </w:t>
      </w:r>
      <w:r>
        <w:rPr/>
        <w:t>daerah</w:t>
      </w:r>
      <w:r>
        <w:rPr>
          <w:spacing w:val="-16"/>
        </w:rPr>
        <w:t> </w:t>
      </w:r>
      <w:r>
        <w:rPr/>
        <w:t>akan</w:t>
      </w:r>
      <w:r>
        <w:rPr>
          <w:spacing w:val="-15"/>
        </w:rPr>
        <w:t> </w:t>
      </w:r>
      <w:r>
        <w:rPr/>
        <w:t>semakin</w:t>
      </w:r>
      <w:r>
        <w:rPr>
          <w:spacing w:val="-15"/>
        </w:rPr>
        <w:t> </w:t>
      </w:r>
      <w:r>
        <w:rPr/>
        <w:t>mampu</w:t>
      </w:r>
      <w:r>
        <w:rPr>
          <w:spacing w:val="-15"/>
        </w:rPr>
        <w:t> </w:t>
      </w:r>
      <w:r>
        <w:rPr/>
        <w:t>dan</w:t>
      </w:r>
      <w:r>
        <w:rPr>
          <w:spacing w:val="-16"/>
        </w:rPr>
        <w:t> </w:t>
      </w:r>
      <w:r>
        <w:rPr/>
        <w:t>mandiri</w:t>
      </w:r>
    </w:p>
    <w:p>
      <w:pPr>
        <w:pStyle w:val="BodyText"/>
        <w:spacing w:after="0" w:line="360" w:lineRule="auto"/>
        <w:sectPr>
          <w:pgSz w:w="11910" w:h="16840"/>
          <w:pgMar w:header="0" w:footer="1186" w:top="1580" w:bottom="1380" w:left="1700" w:right="992"/>
        </w:sectPr>
      </w:pPr>
    </w:p>
    <w:p>
      <w:pPr>
        <w:pStyle w:val="BodyText"/>
        <w:spacing w:line="360" w:lineRule="auto" w:before="82"/>
        <w:ind w:left="993" w:right="704"/>
      </w:pPr>
      <w:r>
        <w:rPr/>
        <w:t>membiayai belanja daerahnya. Agar semakin mandiri suatu daerah diperlukan</w:t>
      </w:r>
      <w:r>
        <w:rPr>
          <w:spacing w:val="-17"/>
        </w:rPr>
        <w:t> </w:t>
      </w:r>
      <w:r>
        <w:rPr/>
        <w:t>kesadaran</w:t>
      </w:r>
      <w:r>
        <w:rPr>
          <w:spacing w:val="-16"/>
        </w:rPr>
        <w:t> </w:t>
      </w:r>
      <w:r>
        <w:rPr/>
        <w:t>dari</w:t>
      </w:r>
      <w:r>
        <w:rPr>
          <w:spacing w:val="-17"/>
        </w:rPr>
        <w:t> </w:t>
      </w:r>
      <w:r>
        <w:rPr/>
        <w:t>masyarakatnya</w:t>
      </w:r>
      <w:r>
        <w:rPr>
          <w:spacing w:val="-16"/>
        </w:rPr>
        <w:t> </w:t>
      </w:r>
      <w:r>
        <w:rPr/>
        <w:t>untuk</w:t>
      </w:r>
      <w:r>
        <w:rPr>
          <w:spacing w:val="-17"/>
        </w:rPr>
        <w:t> </w:t>
      </w:r>
      <w:r>
        <w:rPr/>
        <w:t>ikut</w:t>
      </w:r>
      <w:r>
        <w:rPr>
          <w:spacing w:val="-16"/>
        </w:rPr>
        <w:t> </w:t>
      </w:r>
      <w:r>
        <w:rPr/>
        <w:t>serta</w:t>
      </w:r>
      <w:r>
        <w:rPr>
          <w:spacing w:val="-17"/>
        </w:rPr>
        <w:t> </w:t>
      </w:r>
      <w:r>
        <w:rPr/>
        <w:t>menyumbang pendapatan asli daerah melalui membayar pajak daerah hingga membayar retribusi daerah.</w:t>
      </w:r>
    </w:p>
    <w:p>
      <w:pPr>
        <w:pStyle w:val="Heading2"/>
        <w:numPr>
          <w:ilvl w:val="3"/>
          <w:numId w:val="7"/>
        </w:numPr>
        <w:tabs>
          <w:tab w:pos="1039" w:val="left" w:leader="none"/>
        </w:tabs>
        <w:spacing w:line="240" w:lineRule="auto" w:before="293" w:after="0"/>
        <w:ind w:left="1039" w:right="0" w:hanging="406"/>
        <w:jc w:val="both"/>
      </w:pPr>
      <w:bookmarkStart w:name="_bookmark20" w:id="21"/>
      <w:bookmarkEnd w:id="21"/>
      <w:r>
        <w:rPr>
          <w:b w:val="0"/>
        </w:rPr>
      </w:r>
      <w:r>
        <w:rPr/>
        <w:t>Kerjasama</w:t>
      </w:r>
      <w:r>
        <w:rPr>
          <w:spacing w:val="-13"/>
        </w:rPr>
        <w:t> </w:t>
      </w:r>
      <w:r>
        <w:rPr>
          <w:spacing w:val="-2"/>
        </w:rPr>
        <w:t>Daerah</w:t>
      </w:r>
    </w:p>
    <w:p>
      <w:pPr>
        <w:pStyle w:val="BodyText"/>
        <w:spacing w:line="360" w:lineRule="auto" w:before="224"/>
        <w:ind w:left="993" w:right="699" w:firstLine="566"/>
      </w:pPr>
      <w:r>
        <w:rPr/>
        <w:t>Kolaborasi merupakan perwujudan dari proses integrasi antar individu</w:t>
      </w:r>
      <w:r>
        <w:rPr>
          <w:spacing w:val="-17"/>
        </w:rPr>
        <w:t> </w:t>
      </w:r>
      <w:r>
        <w:rPr/>
        <w:t>dalam</w:t>
      </w:r>
      <w:r>
        <w:rPr>
          <w:spacing w:val="-16"/>
        </w:rPr>
        <w:t> </w:t>
      </w:r>
      <w:r>
        <w:rPr/>
        <w:t>jangka</w:t>
      </w:r>
      <w:r>
        <w:rPr>
          <w:spacing w:val="-17"/>
        </w:rPr>
        <w:t> </w:t>
      </w:r>
      <w:r>
        <w:rPr/>
        <w:t>waktu</w:t>
      </w:r>
      <w:r>
        <w:rPr>
          <w:spacing w:val="-16"/>
        </w:rPr>
        <w:t> </w:t>
      </w:r>
      <w:r>
        <w:rPr/>
        <w:t>panjang</w:t>
      </w:r>
      <w:r>
        <w:rPr>
          <w:spacing w:val="-17"/>
        </w:rPr>
        <w:t> </w:t>
      </w:r>
      <w:r>
        <w:rPr/>
        <w:t>melalui</w:t>
      </w:r>
      <w:r>
        <w:rPr>
          <w:spacing w:val="-16"/>
        </w:rPr>
        <w:t> </w:t>
      </w:r>
      <w:r>
        <w:rPr/>
        <w:t>kelompok-kelompok</w:t>
      </w:r>
      <w:r>
        <w:rPr>
          <w:spacing w:val="-17"/>
        </w:rPr>
        <w:t> </w:t>
      </w:r>
      <w:r>
        <w:rPr/>
        <w:t>yang melihat aspek-aspek berbeda dari suatu permasalahan. Kolaborasi mengeksplorasi perbedaan-perbedaan di antara mereka secara konstruktif, sehingga mencari solusi yang mungkin dan mengimplentasikannya secara bersama-sama.</w:t>
      </w:r>
    </w:p>
    <w:p>
      <w:pPr>
        <w:pStyle w:val="BodyText"/>
        <w:spacing w:line="360" w:lineRule="auto" w:before="3"/>
        <w:ind w:left="854" w:right="702" w:firstLine="480"/>
      </w:pPr>
      <w:r>
        <w:rPr/>
        <w:t>Bentuk Kerja Sama menurut Rosen dalam Keban (2007) dapat dilakukan dengan berbagai bentuk perjanjian dan pengaturan, yang dibedakan atas dasar handshake agreements, yaitu pengaturan kerja yang tidak didasarkan atas perjanjian tertulis, dan written Agreements, yaitu pengaturan Kerja Samayang didasarkan atas perjanjian tertulis.</w:t>
      </w:r>
    </w:p>
    <w:p>
      <w:pPr>
        <w:pStyle w:val="BodyText"/>
        <w:spacing w:line="360" w:lineRule="auto"/>
        <w:ind w:left="854" w:right="699" w:firstLine="629"/>
      </w:pPr>
      <w:r>
        <w:rPr/>
        <w:t>Thomson dari Wood dan Gray (2006) mendefinisikan, bahwa kolaborasi berarti pihak-pihak yang otonom berinteraksi melalui negosiasi baik secara formal maupun informal. Mereka bersama menyusun struktur dan aturan pengelolaan hubungan antar mereka. Mereka</w:t>
      </w:r>
      <w:r>
        <w:rPr>
          <w:spacing w:val="-6"/>
        </w:rPr>
        <w:t> </w:t>
      </w:r>
      <w:r>
        <w:rPr/>
        <w:t>merencanakan</w:t>
      </w:r>
      <w:r>
        <w:rPr>
          <w:spacing w:val="-6"/>
        </w:rPr>
        <w:t> </w:t>
      </w:r>
      <w:r>
        <w:rPr/>
        <w:t>tindakan</w:t>
      </w:r>
      <w:r>
        <w:rPr>
          <w:spacing w:val="-6"/>
        </w:rPr>
        <w:t> </w:t>
      </w:r>
      <w:r>
        <w:rPr/>
        <w:t>atau</w:t>
      </w:r>
      <w:r>
        <w:rPr>
          <w:spacing w:val="-6"/>
        </w:rPr>
        <w:t> </w:t>
      </w:r>
      <w:r>
        <w:rPr/>
        <w:t>keputusan</w:t>
      </w:r>
      <w:r>
        <w:rPr>
          <w:spacing w:val="-6"/>
        </w:rPr>
        <w:t> </w:t>
      </w:r>
      <w:r>
        <w:rPr/>
        <w:t>untuk</w:t>
      </w:r>
      <w:r>
        <w:rPr>
          <w:spacing w:val="-5"/>
        </w:rPr>
        <w:t> </w:t>
      </w:r>
      <w:r>
        <w:rPr/>
        <w:t>mengatasi</w:t>
      </w:r>
      <w:r>
        <w:rPr>
          <w:spacing w:val="-5"/>
        </w:rPr>
        <w:t> </w:t>
      </w:r>
      <w:r>
        <w:rPr/>
        <w:t>isu-isu yang</w:t>
      </w:r>
      <w:r>
        <w:rPr>
          <w:spacing w:val="-8"/>
        </w:rPr>
        <w:t> </w:t>
      </w:r>
      <w:r>
        <w:rPr/>
        <w:t>membawa</w:t>
      </w:r>
      <w:r>
        <w:rPr>
          <w:spacing w:val="-8"/>
        </w:rPr>
        <w:t> </w:t>
      </w:r>
      <w:r>
        <w:rPr/>
        <w:t>mereka</w:t>
      </w:r>
      <w:r>
        <w:rPr>
          <w:spacing w:val="-7"/>
        </w:rPr>
        <w:t> </w:t>
      </w:r>
      <w:r>
        <w:rPr/>
        <w:t>bersama-sama.</w:t>
      </w:r>
      <w:r>
        <w:rPr>
          <w:spacing w:val="-10"/>
        </w:rPr>
        <w:t> </w:t>
      </w:r>
      <w:r>
        <w:rPr/>
        <w:t>Mekanisme</w:t>
      </w:r>
      <w:r>
        <w:rPr>
          <w:spacing w:val="-11"/>
        </w:rPr>
        <w:t> </w:t>
      </w:r>
      <w:r>
        <w:rPr/>
        <w:t>tersebut</w:t>
      </w:r>
      <w:r>
        <w:rPr>
          <w:spacing w:val="-6"/>
        </w:rPr>
        <w:t> </w:t>
      </w:r>
      <w:r>
        <w:rPr/>
        <w:t>merupakan interaksi yang menyangkut sharing atas norma dan manfaat yang saling </w:t>
      </w:r>
      <w:r>
        <w:rPr>
          <w:spacing w:val="-2"/>
        </w:rPr>
        <w:t>menguntungkan.</w:t>
      </w:r>
    </w:p>
    <w:p>
      <w:pPr>
        <w:pStyle w:val="BodyText"/>
        <w:spacing w:line="357" w:lineRule="auto" w:before="2"/>
        <w:ind w:left="854" w:right="704" w:firstLine="696"/>
      </w:pPr>
      <w:r>
        <w:rPr/>
        <w:t>Berdasarkan</w:t>
      </w:r>
      <w:r>
        <w:rPr>
          <w:spacing w:val="-5"/>
        </w:rPr>
        <w:t> </w:t>
      </w:r>
      <w:r>
        <w:rPr/>
        <w:t>penjelasan</w:t>
      </w:r>
      <w:r>
        <w:rPr>
          <w:spacing w:val="-6"/>
        </w:rPr>
        <w:t> </w:t>
      </w:r>
      <w:r>
        <w:rPr/>
        <w:t>di</w:t>
      </w:r>
      <w:r>
        <w:rPr>
          <w:spacing w:val="-5"/>
        </w:rPr>
        <w:t> </w:t>
      </w:r>
      <w:r>
        <w:rPr/>
        <w:t>atas,</w:t>
      </w:r>
      <w:r>
        <w:rPr>
          <w:spacing w:val="-4"/>
        </w:rPr>
        <w:t> </w:t>
      </w:r>
      <w:r>
        <w:rPr/>
        <w:t>kerja</w:t>
      </w:r>
      <w:r>
        <w:rPr>
          <w:spacing w:val="-7"/>
        </w:rPr>
        <w:t> </w:t>
      </w:r>
      <w:r>
        <w:rPr/>
        <w:t>sama</w:t>
      </w:r>
      <w:r>
        <w:rPr>
          <w:spacing w:val="-7"/>
        </w:rPr>
        <w:t> </w:t>
      </w:r>
      <w:r>
        <w:rPr/>
        <w:t>dapat</w:t>
      </w:r>
      <w:r>
        <w:rPr>
          <w:spacing w:val="-4"/>
        </w:rPr>
        <w:t> </w:t>
      </w:r>
      <w:r>
        <w:rPr/>
        <w:t>dilakukan</w:t>
      </w:r>
      <w:r>
        <w:rPr>
          <w:spacing w:val="-2"/>
        </w:rPr>
        <w:t> </w:t>
      </w:r>
      <w:r>
        <w:rPr/>
        <w:t>bukan hanya</w:t>
      </w:r>
      <w:r>
        <w:rPr>
          <w:spacing w:val="26"/>
        </w:rPr>
        <w:t> </w:t>
      </w:r>
      <w:r>
        <w:rPr/>
        <w:t>subjek</w:t>
      </w:r>
      <w:r>
        <w:rPr>
          <w:spacing w:val="29"/>
        </w:rPr>
        <w:t> </w:t>
      </w:r>
      <w:r>
        <w:rPr/>
        <w:t>hukum</w:t>
      </w:r>
      <w:r>
        <w:rPr>
          <w:spacing w:val="28"/>
        </w:rPr>
        <w:t> </w:t>
      </w:r>
      <w:r>
        <w:rPr/>
        <w:t>orang</w:t>
      </w:r>
      <w:r>
        <w:rPr>
          <w:spacing w:val="26"/>
        </w:rPr>
        <w:t> </w:t>
      </w:r>
      <w:r>
        <w:rPr/>
        <w:t>tetapi</w:t>
      </w:r>
      <w:r>
        <w:rPr>
          <w:spacing w:val="32"/>
        </w:rPr>
        <w:t> </w:t>
      </w:r>
      <w:r>
        <w:rPr/>
        <w:t>dapat</w:t>
      </w:r>
      <w:r>
        <w:rPr>
          <w:spacing w:val="29"/>
        </w:rPr>
        <w:t> </w:t>
      </w:r>
      <w:r>
        <w:rPr/>
        <w:t>pula</w:t>
      </w:r>
      <w:r>
        <w:rPr>
          <w:spacing w:val="26"/>
        </w:rPr>
        <w:t> </w:t>
      </w:r>
      <w:r>
        <w:rPr/>
        <w:t>dilakukan</w:t>
      </w:r>
      <w:r>
        <w:rPr>
          <w:spacing w:val="27"/>
        </w:rPr>
        <w:t> </w:t>
      </w:r>
      <w:r>
        <w:rPr/>
        <w:t>subjek</w:t>
      </w:r>
      <w:r>
        <w:rPr>
          <w:spacing w:val="29"/>
        </w:rPr>
        <w:t> </w:t>
      </w:r>
      <w:r>
        <w:rPr/>
        <w:t>hukum</w:t>
      </w:r>
    </w:p>
    <w:p>
      <w:pPr>
        <w:pStyle w:val="BodyText"/>
        <w:spacing w:after="0" w:line="357" w:lineRule="auto"/>
        <w:sectPr>
          <w:pgSz w:w="11910" w:h="16840"/>
          <w:pgMar w:header="0" w:footer="1186" w:top="1580" w:bottom="1380" w:left="1700" w:right="992"/>
        </w:sectPr>
      </w:pPr>
    </w:p>
    <w:p>
      <w:pPr>
        <w:pStyle w:val="BodyText"/>
        <w:spacing w:line="360" w:lineRule="auto" w:before="82"/>
        <w:ind w:left="854" w:right="700"/>
      </w:pPr>
      <w:r>
        <w:rPr/>
        <w:t>badan hukum, yaitu pemerintah daerah. Pemerintah daerah dapat melakukan kerja sama yang dasar hukumnya diatur dalam Pasal 369 Undang-Undang Nomor 23 Tahun 2014 sebagaimana telah diubah dengan Undang-Undang Nomor 9 Tahun 2015, bahwa dalam pelaksanaan kerjasama daerah lebih lanjut perlu menetapkan Peraturan Pemerintah tentang Kerja Sama Daerah.</w:t>
      </w:r>
    </w:p>
    <w:p>
      <w:pPr>
        <w:pStyle w:val="BodyText"/>
        <w:spacing w:line="360" w:lineRule="auto" w:before="3"/>
        <w:ind w:left="854" w:right="703" w:firstLine="480"/>
      </w:pPr>
      <w:r>
        <w:rPr/>
        <w:t>Taylor</w:t>
      </w:r>
      <w:r>
        <w:rPr>
          <w:spacing w:val="-17"/>
        </w:rPr>
        <w:t> </w:t>
      </w:r>
      <w:r>
        <w:rPr/>
        <w:t>(2007)</w:t>
      </w:r>
      <w:r>
        <w:rPr>
          <w:spacing w:val="-16"/>
        </w:rPr>
        <w:t> </w:t>
      </w:r>
      <w:r>
        <w:rPr/>
        <w:t>menyatakan</w:t>
      </w:r>
      <w:r>
        <w:rPr>
          <w:spacing w:val="-17"/>
        </w:rPr>
        <w:t> </w:t>
      </w:r>
      <w:r>
        <w:rPr/>
        <w:t>bahwa</w:t>
      </w:r>
      <w:r>
        <w:rPr>
          <w:spacing w:val="-16"/>
        </w:rPr>
        <w:t> </w:t>
      </w:r>
      <w:r>
        <w:rPr/>
        <w:t>terdapat</w:t>
      </w:r>
      <w:r>
        <w:rPr>
          <w:spacing w:val="-17"/>
        </w:rPr>
        <w:t> </w:t>
      </w:r>
      <w:r>
        <w:rPr/>
        <w:t>bentuk-bentuk</w:t>
      </w:r>
      <w:r>
        <w:rPr>
          <w:spacing w:val="-16"/>
        </w:rPr>
        <w:t> </w:t>
      </w:r>
      <w:r>
        <w:rPr/>
        <w:t>kerja</w:t>
      </w:r>
      <w:r>
        <w:rPr>
          <w:spacing w:val="-17"/>
        </w:rPr>
        <w:t> </w:t>
      </w:r>
      <w:r>
        <w:rPr/>
        <w:t>sama pemerintah daerah dalam pelayanan publik dapat beragam, yaitu </w:t>
      </w:r>
      <w:r>
        <w:rPr>
          <w:spacing w:val="-2"/>
        </w:rPr>
        <w:t>diantaranya:</w:t>
      </w:r>
    </w:p>
    <w:p>
      <w:pPr>
        <w:pStyle w:val="ListParagraph"/>
        <w:numPr>
          <w:ilvl w:val="0"/>
          <w:numId w:val="20"/>
        </w:numPr>
        <w:tabs>
          <w:tab w:pos="1274" w:val="left" w:leader="none"/>
          <w:tab w:pos="1276" w:val="left" w:leader="none"/>
        </w:tabs>
        <w:spacing w:line="360" w:lineRule="auto" w:before="0" w:after="0"/>
        <w:ind w:left="1276" w:right="704" w:hanging="284"/>
        <w:jc w:val="both"/>
        <w:rPr>
          <w:sz w:val="24"/>
        </w:rPr>
      </w:pPr>
      <w:r>
        <w:rPr>
          <w:i/>
          <w:sz w:val="24"/>
        </w:rPr>
        <w:t>Handshake Agreement</w:t>
      </w:r>
      <w:r>
        <w:rPr>
          <w:sz w:val="24"/>
        </w:rPr>
        <w:t>, yang dicirikan oleh tidak adanya dokumen perjanjian kerja sama yang formal. Kerja sama model ini didasarkan pada komitmen dan kepercayaan secara politis antar daerah yang terkait. Biasanya, bentuk kerja sama seperti ini dapat berjalan pada daerah-daerah yang secara historis memang sudah sering bekerja sama</w:t>
      </w:r>
      <w:r>
        <w:rPr>
          <w:spacing w:val="-17"/>
          <w:sz w:val="24"/>
        </w:rPr>
        <w:t> </w:t>
      </w:r>
      <w:r>
        <w:rPr>
          <w:sz w:val="24"/>
        </w:rPr>
        <w:t>dalam</w:t>
      </w:r>
      <w:r>
        <w:rPr>
          <w:spacing w:val="-16"/>
          <w:sz w:val="24"/>
        </w:rPr>
        <w:t> </w:t>
      </w:r>
      <w:r>
        <w:rPr>
          <w:sz w:val="24"/>
        </w:rPr>
        <w:t>berbagai</w:t>
      </w:r>
      <w:r>
        <w:rPr>
          <w:spacing w:val="-17"/>
          <w:sz w:val="24"/>
        </w:rPr>
        <w:t> </w:t>
      </w:r>
      <w:r>
        <w:rPr>
          <w:sz w:val="24"/>
        </w:rPr>
        <w:t>bidang.</w:t>
      </w:r>
      <w:r>
        <w:rPr>
          <w:spacing w:val="-16"/>
          <w:sz w:val="24"/>
        </w:rPr>
        <w:t> </w:t>
      </w:r>
      <w:r>
        <w:rPr>
          <w:sz w:val="24"/>
        </w:rPr>
        <w:t>Bentuk</w:t>
      </w:r>
      <w:r>
        <w:rPr>
          <w:spacing w:val="-14"/>
          <w:sz w:val="24"/>
        </w:rPr>
        <w:t> </w:t>
      </w:r>
      <w:r>
        <w:rPr>
          <w:sz w:val="24"/>
        </w:rPr>
        <w:t>kerja</w:t>
      </w:r>
      <w:r>
        <w:rPr>
          <w:spacing w:val="-17"/>
          <w:sz w:val="24"/>
        </w:rPr>
        <w:t> </w:t>
      </w:r>
      <w:r>
        <w:rPr>
          <w:sz w:val="24"/>
        </w:rPr>
        <w:t>sama</w:t>
      </w:r>
      <w:r>
        <w:rPr>
          <w:spacing w:val="-16"/>
          <w:sz w:val="24"/>
        </w:rPr>
        <w:t> </w:t>
      </w:r>
      <w:r>
        <w:rPr>
          <w:sz w:val="24"/>
        </w:rPr>
        <w:t>ini</w:t>
      </w:r>
      <w:r>
        <w:rPr>
          <w:spacing w:val="-16"/>
          <w:sz w:val="24"/>
        </w:rPr>
        <w:t> </w:t>
      </w:r>
      <w:r>
        <w:rPr>
          <w:sz w:val="24"/>
        </w:rPr>
        <w:t>cukup</w:t>
      </w:r>
      <w:r>
        <w:rPr>
          <w:spacing w:val="-17"/>
          <w:sz w:val="24"/>
        </w:rPr>
        <w:t> </w:t>
      </w:r>
      <w:r>
        <w:rPr>
          <w:sz w:val="24"/>
        </w:rPr>
        <w:t>efisien</w:t>
      </w:r>
      <w:r>
        <w:rPr>
          <w:spacing w:val="-16"/>
          <w:sz w:val="24"/>
        </w:rPr>
        <w:t> </w:t>
      </w:r>
      <w:r>
        <w:rPr>
          <w:sz w:val="24"/>
        </w:rPr>
        <w:t>dan lebih fleksibel dalam pelaksanaannya karena tidak ada kewajiban yang mengikat bagi masing-masing pemerintah daerah. Meski begitu, kelemahan model ini adalah potensi munculnya kesalahpahaman, terutama pada masalah-masalah teknis, dan </w:t>
      </w:r>
      <w:r>
        <w:rPr>
          <w:i/>
          <w:sz w:val="24"/>
        </w:rPr>
        <w:t>sustainibility </w:t>
      </w:r>
      <w:r>
        <w:rPr>
          <w:sz w:val="24"/>
        </w:rPr>
        <w:t>kerja sama yang rendah, terutama apabila terjadi pergantian</w:t>
      </w:r>
      <w:r>
        <w:rPr>
          <w:spacing w:val="-16"/>
          <w:sz w:val="24"/>
        </w:rPr>
        <w:t> </w:t>
      </w:r>
      <w:r>
        <w:rPr>
          <w:sz w:val="24"/>
        </w:rPr>
        <w:t>kepemimpinan</w:t>
      </w:r>
      <w:r>
        <w:rPr>
          <w:spacing w:val="-16"/>
          <w:sz w:val="24"/>
        </w:rPr>
        <w:t> </w:t>
      </w:r>
      <w:r>
        <w:rPr>
          <w:sz w:val="24"/>
        </w:rPr>
        <w:t>daerah.</w:t>
      </w:r>
      <w:r>
        <w:rPr>
          <w:spacing w:val="-15"/>
          <w:sz w:val="24"/>
        </w:rPr>
        <w:t> </w:t>
      </w:r>
      <w:r>
        <w:rPr>
          <w:sz w:val="24"/>
        </w:rPr>
        <w:t>Oleh</w:t>
      </w:r>
      <w:r>
        <w:rPr>
          <w:spacing w:val="-16"/>
          <w:sz w:val="24"/>
        </w:rPr>
        <w:t> </w:t>
      </w:r>
      <w:r>
        <w:rPr>
          <w:sz w:val="24"/>
        </w:rPr>
        <w:t>karena</w:t>
      </w:r>
      <w:r>
        <w:rPr>
          <w:spacing w:val="-17"/>
          <w:sz w:val="24"/>
        </w:rPr>
        <w:t> </w:t>
      </w:r>
      <w:r>
        <w:rPr>
          <w:sz w:val="24"/>
        </w:rPr>
        <w:t>itu,</w:t>
      </w:r>
      <w:r>
        <w:rPr>
          <w:spacing w:val="-13"/>
          <w:sz w:val="24"/>
        </w:rPr>
        <w:t> </w:t>
      </w:r>
      <w:r>
        <w:rPr>
          <w:sz w:val="24"/>
        </w:rPr>
        <w:t>bentuk</w:t>
      </w:r>
      <w:r>
        <w:rPr>
          <w:spacing w:val="-15"/>
          <w:sz w:val="24"/>
        </w:rPr>
        <w:t> </w:t>
      </w:r>
      <w:r>
        <w:rPr>
          <w:sz w:val="24"/>
        </w:rPr>
        <w:t>kerjasama ini sangat jarang ditemukan pada isu-isu strategis.</w:t>
      </w:r>
    </w:p>
    <w:p>
      <w:pPr>
        <w:pStyle w:val="BodyText"/>
        <w:spacing w:before="162"/>
        <w:jc w:val="left"/>
      </w:pPr>
    </w:p>
    <w:p>
      <w:pPr>
        <w:pStyle w:val="ListParagraph"/>
        <w:numPr>
          <w:ilvl w:val="0"/>
          <w:numId w:val="20"/>
        </w:numPr>
        <w:tabs>
          <w:tab w:pos="1274" w:val="left" w:leader="none"/>
          <w:tab w:pos="1276" w:val="left" w:leader="none"/>
        </w:tabs>
        <w:spacing w:line="360" w:lineRule="auto" w:before="0" w:after="0"/>
        <w:ind w:left="1276" w:right="699" w:hanging="284"/>
        <w:jc w:val="both"/>
        <w:rPr>
          <w:sz w:val="24"/>
        </w:rPr>
      </w:pPr>
      <w:r>
        <w:rPr>
          <w:i/>
          <w:sz w:val="24"/>
        </w:rPr>
        <w:t>Fee for service contracts (service agreements)</w:t>
      </w:r>
      <w:r>
        <w:rPr>
          <w:sz w:val="24"/>
        </w:rPr>
        <w:t>. Sistem ini, pada dasarnya</w:t>
      </w:r>
      <w:r>
        <w:rPr>
          <w:spacing w:val="-11"/>
          <w:sz w:val="24"/>
        </w:rPr>
        <w:t> </w:t>
      </w:r>
      <w:r>
        <w:rPr>
          <w:sz w:val="24"/>
        </w:rPr>
        <w:t>adalah</w:t>
      </w:r>
      <w:r>
        <w:rPr>
          <w:spacing w:val="-6"/>
          <w:sz w:val="24"/>
        </w:rPr>
        <w:t> </w:t>
      </w:r>
      <w:r>
        <w:rPr>
          <w:sz w:val="24"/>
        </w:rPr>
        <w:t>satu</w:t>
      </w:r>
      <w:r>
        <w:rPr>
          <w:spacing w:val="-11"/>
          <w:sz w:val="24"/>
        </w:rPr>
        <w:t> </w:t>
      </w:r>
      <w:r>
        <w:rPr>
          <w:sz w:val="24"/>
        </w:rPr>
        <w:t>daerah</w:t>
      </w:r>
      <w:r>
        <w:rPr>
          <w:spacing w:val="-11"/>
          <w:sz w:val="24"/>
        </w:rPr>
        <w:t> </w:t>
      </w:r>
      <w:r>
        <w:rPr>
          <w:sz w:val="24"/>
        </w:rPr>
        <w:t>“menjual”</w:t>
      </w:r>
      <w:r>
        <w:rPr>
          <w:spacing w:val="-10"/>
          <w:sz w:val="24"/>
        </w:rPr>
        <w:t> </w:t>
      </w:r>
      <w:r>
        <w:rPr>
          <w:sz w:val="24"/>
        </w:rPr>
        <w:t>satu</w:t>
      </w:r>
      <w:r>
        <w:rPr>
          <w:spacing w:val="-11"/>
          <w:sz w:val="24"/>
        </w:rPr>
        <w:t> </w:t>
      </w:r>
      <w:r>
        <w:rPr>
          <w:sz w:val="24"/>
        </w:rPr>
        <w:t>bentuk</w:t>
      </w:r>
      <w:r>
        <w:rPr>
          <w:spacing w:val="-9"/>
          <w:sz w:val="24"/>
        </w:rPr>
        <w:t> </w:t>
      </w:r>
      <w:r>
        <w:rPr>
          <w:sz w:val="24"/>
        </w:rPr>
        <w:t>pelayanan</w:t>
      </w:r>
      <w:r>
        <w:rPr>
          <w:spacing w:val="-11"/>
          <w:sz w:val="24"/>
        </w:rPr>
        <w:t> </w:t>
      </w:r>
      <w:r>
        <w:rPr>
          <w:sz w:val="24"/>
        </w:rPr>
        <w:t>publik pada</w:t>
      </w:r>
      <w:r>
        <w:rPr>
          <w:spacing w:val="-4"/>
          <w:sz w:val="24"/>
        </w:rPr>
        <w:t> </w:t>
      </w:r>
      <w:r>
        <w:rPr>
          <w:sz w:val="24"/>
        </w:rPr>
        <w:t>daerah</w:t>
      </w:r>
      <w:r>
        <w:rPr>
          <w:spacing w:val="-4"/>
          <w:sz w:val="24"/>
        </w:rPr>
        <w:t> </w:t>
      </w:r>
      <w:r>
        <w:rPr>
          <w:sz w:val="24"/>
        </w:rPr>
        <w:t>lain.</w:t>
      </w:r>
      <w:r>
        <w:rPr>
          <w:spacing w:val="-2"/>
          <w:sz w:val="24"/>
        </w:rPr>
        <w:t> </w:t>
      </w:r>
      <w:r>
        <w:rPr>
          <w:sz w:val="24"/>
        </w:rPr>
        <w:t>Misalnya</w:t>
      </w:r>
      <w:r>
        <w:rPr>
          <w:spacing w:val="-4"/>
          <w:sz w:val="24"/>
        </w:rPr>
        <w:t> </w:t>
      </w:r>
      <w:r>
        <w:rPr>
          <w:sz w:val="24"/>
        </w:rPr>
        <w:t>air</w:t>
      </w:r>
      <w:r>
        <w:rPr>
          <w:spacing w:val="-4"/>
          <w:sz w:val="24"/>
        </w:rPr>
        <w:t> </w:t>
      </w:r>
      <w:r>
        <w:rPr>
          <w:sz w:val="24"/>
        </w:rPr>
        <w:t>bersih, listrik,</w:t>
      </w:r>
      <w:r>
        <w:rPr>
          <w:spacing w:val="-2"/>
          <w:sz w:val="24"/>
        </w:rPr>
        <w:t> </w:t>
      </w:r>
      <w:r>
        <w:rPr>
          <w:sz w:val="24"/>
        </w:rPr>
        <w:t>dan</w:t>
      </w:r>
      <w:r>
        <w:rPr>
          <w:spacing w:val="-4"/>
          <w:sz w:val="24"/>
        </w:rPr>
        <w:t> </w:t>
      </w:r>
      <w:r>
        <w:rPr>
          <w:sz w:val="24"/>
        </w:rPr>
        <w:t>sebagainya,</w:t>
      </w:r>
      <w:r>
        <w:rPr>
          <w:spacing w:val="-2"/>
          <w:sz w:val="24"/>
        </w:rPr>
        <w:t> </w:t>
      </w:r>
      <w:r>
        <w:rPr>
          <w:sz w:val="24"/>
        </w:rPr>
        <w:t>dengan sistem kompensasi (harga) dan jangka waktu yang disepakati bersama.</w:t>
      </w:r>
      <w:r>
        <w:rPr>
          <w:spacing w:val="-14"/>
          <w:sz w:val="24"/>
        </w:rPr>
        <w:t> </w:t>
      </w:r>
      <w:r>
        <w:rPr>
          <w:sz w:val="24"/>
        </w:rPr>
        <w:t>Keunggulan</w:t>
      </w:r>
      <w:r>
        <w:rPr>
          <w:spacing w:val="-16"/>
          <w:sz w:val="24"/>
        </w:rPr>
        <w:t> </w:t>
      </w:r>
      <w:r>
        <w:rPr>
          <w:sz w:val="24"/>
        </w:rPr>
        <w:t>sistem</w:t>
      </w:r>
      <w:r>
        <w:rPr>
          <w:spacing w:val="-11"/>
          <w:sz w:val="24"/>
        </w:rPr>
        <w:t> </w:t>
      </w:r>
      <w:r>
        <w:rPr>
          <w:sz w:val="24"/>
        </w:rPr>
        <w:t>ini</w:t>
      </w:r>
      <w:r>
        <w:rPr>
          <w:spacing w:val="-16"/>
          <w:sz w:val="24"/>
        </w:rPr>
        <w:t> </w:t>
      </w:r>
      <w:r>
        <w:rPr>
          <w:sz w:val="24"/>
        </w:rPr>
        <w:t>adalah</w:t>
      </w:r>
      <w:r>
        <w:rPr>
          <w:spacing w:val="-11"/>
          <w:sz w:val="24"/>
        </w:rPr>
        <w:t> </w:t>
      </w:r>
      <w:r>
        <w:rPr>
          <w:sz w:val="24"/>
        </w:rPr>
        <w:t>bisa</w:t>
      </w:r>
      <w:r>
        <w:rPr>
          <w:spacing w:val="-13"/>
          <w:sz w:val="24"/>
        </w:rPr>
        <w:t> </w:t>
      </w:r>
      <w:r>
        <w:rPr>
          <w:sz w:val="24"/>
        </w:rPr>
        <w:t>diwujudkan</w:t>
      </w:r>
      <w:r>
        <w:rPr>
          <w:spacing w:val="-11"/>
          <w:sz w:val="24"/>
        </w:rPr>
        <w:t> </w:t>
      </w:r>
      <w:r>
        <w:rPr>
          <w:sz w:val="24"/>
        </w:rPr>
        <w:t>dalam</w:t>
      </w:r>
      <w:r>
        <w:rPr>
          <w:spacing w:val="-15"/>
          <w:sz w:val="24"/>
        </w:rPr>
        <w:t> </w:t>
      </w:r>
      <w:r>
        <w:rPr>
          <w:sz w:val="24"/>
        </w:rPr>
        <w:t>waktu</w:t>
      </w:r>
    </w:p>
    <w:p>
      <w:pPr>
        <w:pStyle w:val="ListParagraph"/>
        <w:spacing w:after="0" w:line="360" w:lineRule="auto"/>
        <w:jc w:val="both"/>
        <w:rPr>
          <w:sz w:val="24"/>
        </w:rPr>
        <w:sectPr>
          <w:pgSz w:w="11910" w:h="16840"/>
          <w:pgMar w:header="0" w:footer="1186" w:top="1580" w:bottom="1380" w:left="1700" w:right="992"/>
        </w:sectPr>
      </w:pPr>
    </w:p>
    <w:p>
      <w:pPr>
        <w:pStyle w:val="BodyText"/>
        <w:spacing w:line="360" w:lineRule="auto" w:before="82"/>
        <w:ind w:left="1276" w:right="699"/>
      </w:pPr>
      <w:r>
        <w:rPr/>
        <w:t>yang relatif cepat. Selain itu, daerah yang menjadi “pembeli” tidak perlu mengeluarkan biaya awal (</w:t>
      </w:r>
      <w:r>
        <w:rPr>
          <w:i/>
        </w:rPr>
        <w:t>start-up cost</w:t>
      </w:r>
      <w:r>
        <w:rPr/>
        <w:t>) dalam penyediaan pelayanan.</w:t>
      </w:r>
      <w:r>
        <w:rPr>
          <w:spacing w:val="-17"/>
        </w:rPr>
        <w:t> </w:t>
      </w:r>
      <w:r>
        <w:rPr/>
        <w:t>Akan</w:t>
      </w:r>
      <w:r>
        <w:rPr>
          <w:spacing w:val="-16"/>
        </w:rPr>
        <w:t> </w:t>
      </w:r>
      <w:r>
        <w:rPr/>
        <w:t>tetapi,</w:t>
      </w:r>
      <w:r>
        <w:rPr>
          <w:spacing w:val="-17"/>
        </w:rPr>
        <w:t> </w:t>
      </w:r>
      <w:r>
        <w:rPr/>
        <w:t>biasanya</w:t>
      </w:r>
      <w:r>
        <w:rPr>
          <w:spacing w:val="-16"/>
        </w:rPr>
        <w:t> </w:t>
      </w:r>
      <w:r>
        <w:rPr/>
        <w:t>cukup</w:t>
      </w:r>
      <w:r>
        <w:rPr>
          <w:spacing w:val="-17"/>
        </w:rPr>
        <w:t> </w:t>
      </w:r>
      <w:r>
        <w:rPr/>
        <w:t>sulit</w:t>
      </w:r>
      <w:r>
        <w:rPr>
          <w:spacing w:val="-16"/>
        </w:rPr>
        <w:t> </w:t>
      </w:r>
      <w:r>
        <w:rPr/>
        <w:t>untuk</w:t>
      </w:r>
      <w:r>
        <w:rPr>
          <w:spacing w:val="-17"/>
        </w:rPr>
        <w:t> </w:t>
      </w:r>
      <w:r>
        <w:rPr/>
        <w:t>menentukanharga yang disepakati kedua daerah.</w:t>
      </w:r>
    </w:p>
    <w:p>
      <w:pPr>
        <w:pStyle w:val="BodyText"/>
        <w:spacing w:before="161"/>
        <w:jc w:val="left"/>
      </w:pPr>
    </w:p>
    <w:p>
      <w:pPr>
        <w:pStyle w:val="ListParagraph"/>
        <w:numPr>
          <w:ilvl w:val="0"/>
          <w:numId w:val="20"/>
        </w:numPr>
        <w:tabs>
          <w:tab w:pos="1274" w:val="left" w:leader="none"/>
          <w:tab w:pos="1276" w:val="left" w:leader="none"/>
        </w:tabs>
        <w:spacing w:line="360" w:lineRule="auto" w:before="1" w:after="0"/>
        <w:ind w:left="1276" w:right="700" w:hanging="284"/>
        <w:jc w:val="both"/>
        <w:rPr>
          <w:sz w:val="24"/>
        </w:rPr>
      </w:pPr>
      <w:r>
        <w:rPr>
          <w:i/>
          <w:sz w:val="24"/>
        </w:rPr>
        <w:t>Joint Agreements </w:t>
      </w:r>
      <w:r>
        <w:rPr>
          <w:sz w:val="24"/>
        </w:rPr>
        <w:t>(pengusahaan bersama). Model ini, pada dasarnya mensyaratkan adanya partisipasi atau keterlibatan dari daerah- daerah yang terlibat dalam penyediaan atau pengelolaan pelayanan publik. Antar pemerintah daerah berbagi kepemilikan kontrol, dan tanggung jawab terhadap program. Sistem ini biasanya tidak memerlukan perubahan struktur kepemerintahan daerah (menggunakan struktur yang sudah ada). Kelemahannya, dokumen perjanjian (</w:t>
      </w:r>
      <w:r>
        <w:rPr>
          <w:i/>
          <w:sz w:val="24"/>
        </w:rPr>
        <w:t>agreement</w:t>
      </w:r>
      <w:r>
        <w:rPr>
          <w:sz w:val="24"/>
        </w:rPr>
        <w:t>) yang dihasilkan biasanya sangat rumit dan kompleks karena harus mengakomodasi sistem birokrasi dari pemerintah daerah yang bersangkutan.</w:t>
      </w:r>
    </w:p>
    <w:p>
      <w:pPr>
        <w:pStyle w:val="BodyText"/>
        <w:spacing w:before="164"/>
        <w:jc w:val="left"/>
      </w:pPr>
    </w:p>
    <w:p>
      <w:pPr>
        <w:pStyle w:val="ListParagraph"/>
        <w:numPr>
          <w:ilvl w:val="0"/>
          <w:numId w:val="20"/>
        </w:numPr>
        <w:tabs>
          <w:tab w:pos="1274" w:val="left" w:leader="none"/>
          <w:tab w:pos="1276" w:val="left" w:leader="none"/>
        </w:tabs>
        <w:spacing w:line="360" w:lineRule="auto" w:before="0" w:after="0"/>
        <w:ind w:left="1276" w:right="696" w:hanging="284"/>
        <w:jc w:val="both"/>
        <w:rPr>
          <w:sz w:val="24"/>
        </w:rPr>
      </w:pPr>
      <w:r>
        <w:rPr>
          <w:i/>
          <w:sz w:val="24"/>
        </w:rPr>
        <w:t>Jointly-formed authorities </w:t>
      </w:r>
      <w:r>
        <w:rPr>
          <w:sz w:val="24"/>
        </w:rPr>
        <w:t>(Pembentukan otoritas bersama). Di Indonesia, sistem ini lebih populer dengan sebutan Sekretariat Bersama. Pemerintah daerah yang bersangkutan setuju untuk mendelegasikan</w:t>
      </w:r>
      <w:r>
        <w:rPr>
          <w:spacing w:val="-6"/>
          <w:sz w:val="24"/>
        </w:rPr>
        <w:t> </w:t>
      </w:r>
      <w:r>
        <w:rPr>
          <w:sz w:val="24"/>
        </w:rPr>
        <w:t>kendali,</w:t>
      </w:r>
      <w:r>
        <w:rPr>
          <w:spacing w:val="-4"/>
          <w:sz w:val="24"/>
        </w:rPr>
        <w:t> </w:t>
      </w:r>
      <w:r>
        <w:rPr>
          <w:sz w:val="24"/>
        </w:rPr>
        <w:t>pengelolaan</w:t>
      </w:r>
      <w:r>
        <w:rPr>
          <w:spacing w:val="-6"/>
          <w:sz w:val="24"/>
        </w:rPr>
        <w:t> </w:t>
      </w:r>
      <w:r>
        <w:rPr>
          <w:sz w:val="24"/>
        </w:rPr>
        <w:t>dan</w:t>
      </w:r>
      <w:r>
        <w:rPr>
          <w:spacing w:val="-6"/>
          <w:sz w:val="24"/>
        </w:rPr>
        <w:t> </w:t>
      </w:r>
      <w:r>
        <w:rPr>
          <w:sz w:val="24"/>
        </w:rPr>
        <w:t>tanggung</w:t>
      </w:r>
      <w:r>
        <w:rPr>
          <w:spacing w:val="-6"/>
          <w:sz w:val="24"/>
        </w:rPr>
        <w:t> </w:t>
      </w:r>
      <w:r>
        <w:rPr>
          <w:sz w:val="24"/>
        </w:rPr>
        <w:t>jawab</w:t>
      </w:r>
      <w:r>
        <w:rPr>
          <w:spacing w:val="-6"/>
          <w:sz w:val="24"/>
        </w:rPr>
        <w:t> </w:t>
      </w:r>
      <w:r>
        <w:rPr>
          <w:sz w:val="24"/>
        </w:rPr>
        <w:t>terhadap satu badan yang dibentuk bersama dan biasanya terdiri dari perwakilan dari pemerintah daerah yang terkait. Badan ini bisa juga diisi</w:t>
      </w:r>
      <w:r>
        <w:rPr>
          <w:spacing w:val="-11"/>
          <w:sz w:val="24"/>
        </w:rPr>
        <w:t> </w:t>
      </w:r>
      <w:r>
        <w:rPr>
          <w:sz w:val="24"/>
        </w:rPr>
        <w:t>oleh</w:t>
      </w:r>
      <w:r>
        <w:rPr>
          <w:spacing w:val="-8"/>
          <w:sz w:val="24"/>
        </w:rPr>
        <w:t> </w:t>
      </w:r>
      <w:r>
        <w:rPr>
          <w:sz w:val="24"/>
        </w:rPr>
        <w:t>kaum</w:t>
      </w:r>
      <w:r>
        <w:rPr>
          <w:spacing w:val="-7"/>
          <w:sz w:val="24"/>
        </w:rPr>
        <w:t> </w:t>
      </w:r>
      <w:r>
        <w:rPr>
          <w:sz w:val="24"/>
        </w:rPr>
        <w:t>profesional</w:t>
      </w:r>
      <w:r>
        <w:rPr>
          <w:spacing w:val="-7"/>
          <w:sz w:val="24"/>
        </w:rPr>
        <w:t> </w:t>
      </w:r>
      <w:r>
        <w:rPr>
          <w:sz w:val="24"/>
        </w:rPr>
        <w:t>yang</w:t>
      </w:r>
      <w:r>
        <w:rPr>
          <w:spacing w:val="-8"/>
          <w:sz w:val="24"/>
        </w:rPr>
        <w:t> </w:t>
      </w:r>
      <w:r>
        <w:rPr>
          <w:sz w:val="24"/>
        </w:rPr>
        <w:t>dikontrak</w:t>
      </w:r>
      <w:r>
        <w:rPr>
          <w:spacing w:val="-6"/>
          <w:sz w:val="24"/>
        </w:rPr>
        <w:t> </w:t>
      </w:r>
      <w:r>
        <w:rPr>
          <w:sz w:val="24"/>
        </w:rPr>
        <w:t>bersama</w:t>
      </w:r>
      <w:r>
        <w:rPr>
          <w:spacing w:val="-8"/>
          <w:sz w:val="24"/>
        </w:rPr>
        <w:t> </w:t>
      </w:r>
      <w:r>
        <w:rPr>
          <w:sz w:val="24"/>
        </w:rPr>
        <w:t>oleh</w:t>
      </w:r>
      <w:r>
        <w:rPr>
          <w:spacing w:val="-8"/>
          <w:sz w:val="24"/>
        </w:rPr>
        <w:t> </w:t>
      </w:r>
      <w:r>
        <w:rPr>
          <w:sz w:val="24"/>
        </w:rPr>
        <w:t>pemerintah daerah yang bersangkutan. Badan ini memiliki kewenangan yang cukup</w:t>
      </w:r>
      <w:r>
        <w:rPr>
          <w:spacing w:val="-6"/>
          <w:sz w:val="24"/>
        </w:rPr>
        <w:t> </w:t>
      </w:r>
      <w:r>
        <w:rPr>
          <w:sz w:val="24"/>
        </w:rPr>
        <w:t>untuk</w:t>
      </w:r>
      <w:r>
        <w:rPr>
          <w:spacing w:val="-4"/>
          <w:sz w:val="24"/>
        </w:rPr>
        <w:t> </w:t>
      </w:r>
      <w:r>
        <w:rPr>
          <w:sz w:val="24"/>
        </w:rPr>
        <w:t>mengeksekusi</w:t>
      </w:r>
      <w:r>
        <w:rPr>
          <w:spacing w:val="-5"/>
          <w:sz w:val="24"/>
        </w:rPr>
        <w:t> </w:t>
      </w:r>
      <w:r>
        <w:rPr>
          <w:sz w:val="24"/>
        </w:rPr>
        <w:t>kebijakan-kebijakan</w:t>
      </w:r>
      <w:r>
        <w:rPr>
          <w:spacing w:val="-6"/>
          <w:sz w:val="24"/>
        </w:rPr>
        <w:t> </w:t>
      </w:r>
      <w:r>
        <w:rPr>
          <w:sz w:val="24"/>
        </w:rPr>
        <w:t>yang</w:t>
      </w:r>
      <w:r>
        <w:rPr>
          <w:spacing w:val="-6"/>
          <w:sz w:val="24"/>
        </w:rPr>
        <w:t> </w:t>
      </w:r>
      <w:r>
        <w:rPr>
          <w:sz w:val="24"/>
        </w:rPr>
        <w:t>terkait dengan bidang</w:t>
      </w:r>
      <w:r>
        <w:rPr>
          <w:spacing w:val="-13"/>
          <w:sz w:val="24"/>
        </w:rPr>
        <w:t> </w:t>
      </w:r>
      <w:r>
        <w:rPr>
          <w:sz w:val="24"/>
        </w:rPr>
        <w:t>pelayanan</w:t>
      </w:r>
      <w:r>
        <w:rPr>
          <w:spacing w:val="-7"/>
          <w:sz w:val="24"/>
        </w:rPr>
        <w:t> </w:t>
      </w:r>
      <w:r>
        <w:rPr>
          <w:sz w:val="24"/>
        </w:rPr>
        <w:t>publik</w:t>
      </w:r>
      <w:r>
        <w:rPr>
          <w:spacing w:val="-11"/>
          <w:sz w:val="24"/>
        </w:rPr>
        <w:t> </w:t>
      </w:r>
      <w:r>
        <w:rPr>
          <w:sz w:val="24"/>
        </w:rPr>
        <w:t>yang</w:t>
      </w:r>
      <w:r>
        <w:rPr>
          <w:spacing w:val="-9"/>
          <w:sz w:val="24"/>
        </w:rPr>
        <w:t> </w:t>
      </w:r>
      <w:r>
        <w:rPr>
          <w:sz w:val="24"/>
        </w:rPr>
        <w:t>diurusnya,</w:t>
      </w:r>
      <w:r>
        <w:rPr>
          <w:spacing w:val="-10"/>
          <w:sz w:val="24"/>
        </w:rPr>
        <w:t> </w:t>
      </w:r>
      <w:r>
        <w:rPr>
          <w:sz w:val="24"/>
        </w:rPr>
        <w:t>termasuk</w:t>
      </w:r>
      <w:r>
        <w:rPr>
          <w:spacing w:val="-11"/>
          <w:sz w:val="24"/>
        </w:rPr>
        <w:t> </w:t>
      </w:r>
      <w:r>
        <w:rPr>
          <w:sz w:val="24"/>
        </w:rPr>
        <w:t>biasanya</w:t>
      </w:r>
      <w:r>
        <w:rPr>
          <w:spacing w:val="-9"/>
          <w:sz w:val="24"/>
        </w:rPr>
        <w:t> </w:t>
      </w:r>
      <w:r>
        <w:rPr>
          <w:sz w:val="24"/>
        </w:rPr>
        <w:t>otonom secara politis. Kelemahannya, pemerintah daerah memiliki kontrol yang lemah terhadap bidang yang diurus oleh badan tersebut.</w:t>
      </w:r>
    </w:p>
    <w:p>
      <w:pPr>
        <w:pStyle w:val="ListParagraph"/>
        <w:spacing w:after="0" w:line="360" w:lineRule="auto"/>
        <w:jc w:val="both"/>
        <w:rPr>
          <w:sz w:val="24"/>
        </w:rPr>
        <w:sectPr>
          <w:pgSz w:w="11910" w:h="16840"/>
          <w:pgMar w:header="0" w:footer="1186" w:top="1580" w:bottom="1380" w:left="1700" w:right="992"/>
        </w:sectPr>
      </w:pPr>
    </w:p>
    <w:p>
      <w:pPr>
        <w:pStyle w:val="ListParagraph"/>
        <w:numPr>
          <w:ilvl w:val="0"/>
          <w:numId w:val="20"/>
        </w:numPr>
        <w:tabs>
          <w:tab w:pos="1274" w:val="left" w:leader="none"/>
          <w:tab w:pos="1276" w:val="left" w:leader="none"/>
        </w:tabs>
        <w:spacing w:line="360" w:lineRule="auto" w:before="227" w:after="0"/>
        <w:ind w:left="1276" w:right="698" w:hanging="284"/>
        <w:jc w:val="both"/>
        <w:rPr>
          <w:sz w:val="24"/>
        </w:rPr>
      </w:pPr>
      <w:r>
        <w:rPr>
          <w:i/>
          <w:sz w:val="24"/>
        </w:rPr>
        <w:t>Regional Bodies</w:t>
      </w:r>
      <w:r>
        <w:rPr>
          <w:sz w:val="24"/>
        </w:rPr>
        <w:t>. Sistem ini bermaksud membentuk satu badan bersama yang menangani isu-isu umum yang lebih besar dari isu lokal satu daerah atau isu-isu kewilayahan. Seringkali, badan ini bersifat netral dan secara umum tidak memiliki otoritas yang cukup untuk mampu bergerak pada tataran implementasi langsung di tingkat</w:t>
      </w:r>
      <w:r>
        <w:rPr>
          <w:spacing w:val="-17"/>
          <w:sz w:val="24"/>
        </w:rPr>
        <w:t> </w:t>
      </w:r>
      <w:r>
        <w:rPr>
          <w:sz w:val="24"/>
        </w:rPr>
        <w:t>lokal.</w:t>
      </w:r>
      <w:r>
        <w:rPr>
          <w:spacing w:val="-16"/>
          <w:sz w:val="24"/>
        </w:rPr>
        <w:t> </w:t>
      </w:r>
      <w:r>
        <w:rPr>
          <w:sz w:val="24"/>
        </w:rPr>
        <w:t>Lebih</w:t>
      </w:r>
      <w:r>
        <w:rPr>
          <w:spacing w:val="-17"/>
          <w:sz w:val="24"/>
        </w:rPr>
        <w:t> </w:t>
      </w:r>
      <w:r>
        <w:rPr>
          <w:sz w:val="24"/>
        </w:rPr>
        <w:t>jauh,</w:t>
      </w:r>
      <w:r>
        <w:rPr>
          <w:spacing w:val="-16"/>
          <w:sz w:val="24"/>
        </w:rPr>
        <w:t> </w:t>
      </w:r>
      <w:r>
        <w:rPr>
          <w:sz w:val="24"/>
        </w:rPr>
        <w:t>apabila</w:t>
      </w:r>
      <w:r>
        <w:rPr>
          <w:spacing w:val="-17"/>
          <w:sz w:val="24"/>
        </w:rPr>
        <w:t> </w:t>
      </w:r>
      <w:r>
        <w:rPr>
          <w:sz w:val="24"/>
        </w:rPr>
        <w:t>isu</w:t>
      </w:r>
      <w:r>
        <w:rPr>
          <w:spacing w:val="-16"/>
          <w:sz w:val="24"/>
        </w:rPr>
        <w:t> </w:t>
      </w:r>
      <w:r>
        <w:rPr>
          <w:sz w:val="24"/>
        </w:rPr>
        <w:t>yang</w:t>
      </w:r>
      <w:r>
        <w:rPr>
          <w:spacing w:val="-17"/>
          <w:sz w:val="24"/>
        </w:rPr>
        <w:t> </w:t>
      </w:r>
      <w:r>
        <w:rPr>
          <w:sz w:val="24"/>
        </w:rPr>
        <w:t>dibahas</w:t>
      </w:r>
      <w:r>
        <w:rPr>
          <w:spacing w:val="-16"/>
          <w:sz w:val="24"/>
        </w:rPr>
        <w:t> </w:t>
      </w:r>
      <w:r>
        <w:rPr>
          <w:sz w:val="24"/>
        </w:rPr>
        <w:t>ternyata</w:t>
      </w:r>
      <w:r>
        <w:rPr>
          <w:spacing w:val="-16"/>
          <w:sz w:val="24"/>
        </w:rPr>
        <w:t> </w:t>
      </w:r>
      <w:r>
        <w:rPr>
          <w:sz w:val="24"/>
        </w:rPr>
        <w:t>merugikan satu daerah, badan ini bisa dianggap kontradiktif dengan pemerintahan</w:t>
      </w:r>
      <w:r>
        <w:rPr>
          <w:spacing w:val="-9"/>
          <w:sz w:val="24"/>
        </w:rPr>
        <w:t> </w:t>
      </w:r>
      <w:r>
        <w:rPr>
          <w:sz w:val="24"/>
        </w:rPr>
        <w:t>lokal.</w:t>
      </w:r>
      <w:r>
        <w:rPr>
          <w:spacing w:val="-8"/>
          <w:sz w:val="24"/>
        </w:rPr>
        <w:t> </w:t>
      </w:r>
      <w:r>
        <w:rPr>
          <w:sz w:val="24"/>
        </w:rPr>
        <w:t>Di</w:t>
      </w:r>
      <w:r>
        <w:rPr>
          <w:spacing w:val="-9"/>
          <w:sz w:val="24"/>
        </w:rPr>
        <w:t> </w:t>
      </w:r>
      <w:r>
        <w:rPr>
          <w:sz w:val="24"/>
        </w:rPr>
        <w:t>Indonesia,</w:t>
      </w:r>
      <w:r>
        <w:rPr>
          <w:spacing w:val="-3"/>
          <w:sz w:val="24"/>
        </w:rPr>
        <w:t> </w:t>
      </w:r>
      <w:r>
        <w:rPr>
          <w:sz w:val="24"/>
        </w:rPr>
        <w:t>peranan</w:t>
      </w:r>
      <w:r>
        <w:rPr>
          <w:spacing w:val="-9"/>
          <w:sz w:val="24"/>
        </w:rPr>
        <w:t> </w:t>
      </w:r>
      <w:r>
        <w:rPr>
          <w:sz w:val="24"/>
        </w:rPr>
        <w:t>badan</w:t>
      </w:r>
      <w:r>
        <w:rPr>
          <w:spacing w:val="-9"/>
          <w:sz w:val="24"/>
        </w:rPr>
        <w:t> </w:t>
      </w:r>
      <w:r>
        <w:rPr>
          <w:sz w:val="24"/>
        </w:rPr>
        <w:t>ini</w:t>
      </w:r>
      <w:r>
        <w:rPr>
          <w:spacing w:val="-9"/>
          <w:sz w:val="24"/>
        </w:rPr>
        <w:t> </w:t>
      </w:r>
      <w:r>
        <w:rPr>
          <w:sz w:val="24"/>
        </w:rPr>
        <w:t>sebenarnya</w:t>
      </w:r>
      <w:r>
        <w:rPr>
          <w:spacing w:val="-10"/>
          <w:sz w:val="24"/>
        </w:rPr>
        <w:t> </w:t>
      </w:r>
      <w:r>
        <w:rPr>
          <w:sz w:val="24"/>
        </w:rPr>
        <w:t>bisa dijalankan oleh Pemerintah Provinsi.</w:t>
      </w:r>
    </w:p>
    <w:p>
      <w:pPr>
        <w:pStyle w:val="BodyText"/>
        <w:spacing w:before="158"/>
        <w:jc w:val="left"/>
      </w:pPr>
    </w:p>
    <w:p>
      <w:pPr>
        <w:pStyle w:val="BodyText"/>
        <w:spacing w:line="360" w:lineRule="auto"/>
        <w:ind w:left="566" w:right="700" w:firstLine="571"/>
      </w:pPr>
      <w:r>
        <w:rPr/>
        <w:t>Dalam rangka meningkatkan kesejahteraan rakyat, Daerah dapat mengadakan kerja sama yang didasarkan pada pertimbangan efisiensi dan efektivitas pelayanan publik serta saling menguntungkan hal ini sebagaimana tertuang didalam pasal 363 sampai pasal 370 Undang- Undang</w:t>
      </w:r>
      <w:r>
        <w:rPr>
          <w:spacing w:val="-11"/>
        </w:rPr>
        <w:t> </w:t>
      </w:r>
      <w:r>
        <w:rPr/>
        <w:t>Nomor</w:t>
      </w:r>
      <w:r>
        <w:rPr>
          <w:spacing w:val="-11"/>
        </w:rPr>
        <w:t> </w:t>
      </w:r>
      <w:r>
        <w:rPr/>
        <w:t>23</w:t>
      </w:r>
      <w:r>
        <w:rPr>
          <w:spacing w:val="-10"/>
        </w:rPr>
        <w:t> </w:t>
      </w:r>
      <w:r>
        <w:rPr/>
        <w:t>Tahun</w:t>
      </w:r>
      <w:r>
        <w:rPr>
          <w:spacing w:val="-11"/>
        </w:rPr>
        <w:t> </w:t>
      </w:r>
      <w:r>
        <w:rPr/>
        <w:t>2014</w:t>
      </w:r>
      <w:r>
        <w:rPr>
          <w:spacing w:val="-10"/>
        </w:rPr>
        <w:t> </w:t>
      </w:r>
      <w:r>
        <w:rPr/>
        <w:t>tentang</w:t>
      </w:r>
      <w:r>
        <w:rPr>
          <w:spacing w:val="-12"/>
        </w:rPr>
        <w:t> </w:t>
      </w:r>
      <w:r>
        <w:rPr/>
        <w:t>Pemerintahan</w:t>
      </w:r>
      <w:r>
        <w:rPr>
          <w:spacing w:val="-11"/>
        </w:rPr>
        <w:t> </w:t>
      </w:r>
      <w:r>
        <w:rPr/>
        <w:t>Daerah</w:t>
      </w:r>
      <w:r>
        <w:rPr>
          <w:spacing w:val="-14"/>
        </w:rPr>
        <w:t> </w:t>
      </w:r>
      <w:r>
        <w:rPr/>
        <w:t>sebagaimana telah diubah beberapa kali terakhir dengan Undang-Undang Nomor 9 Tahun 2015 tentang Perubahan Kedua Atas Undang-Undang Nomor 23 Tahun 2014 tentang Pemerintahan Daerah. Lebih lanjut peraturan pelaksanaan atas undang-undang tersebut bahwa telah terbit Peraturan Pemerintah Nomor 28 Tahun 2018 tentang kerjasama daerah, tentunya ini menjadi pedoman dan acuan yang baru bagi pemerintah daerah dalam pelaksanaan kerjasama daerah, namun demikian peraturan yang mengatur petunjuk</w:t>
      </w:r>
      <w:r>
        <w:rPr>
          <w:spacing w:val="-14"/>
        </w:rPr>
        <w:t> </w:t>
      </w:r>
      <w:r>
        <w:rPr/>
        <w:t>teknis</w:t>
      </w:r>
      <w:r>
        <w:rPr>
          <w:spacing w:val="-11"/>
        </w:rPr>
        <w:t> </w:t>
      </w:r>
      <w:r>
        <w:rPr/>
        <w:t>dan</w:t>
      </w:r>
      <w:r>
        <w:rPr>
          <w:spacing w:val="-15"/>
        </w:rPr>
        <w:t> </w:t>
      </w:r>
      <w:r>
        <w:rPr/>
        <w:t>tata</w:t>
      </w:r>
      <w:r>
        <w:rPr>
          <w:spacing w:val="-12"/>
        </w:rPr>
        <w:t> </w:t>
      </w:r>
      <w:r>
        <w:rPr/>
        <w:t>cara</w:t>
      </w:r>
      <w:r>
        <w:rPr>
          <w:spacing w:val="-12"/>
        </w:rPr>
        <w:t> </w:t>
      </w:r>
      <w:r>
        <w:rPr/>
        <w:t>pelaksanaan</w:t>
      </w:r>
      <w:r>
        <w:rPr>
          <w:spacing w:val="-15"/>
        </w:rPr>
        <w:t> </w:t>
      </w:r>
      <w:r>
        <w:rPr/>
        <w:t>atas</w:t>
      </w:r>
      <w:r>
        <w:rPr>
          <w:spacing w:val="-5"/>
        </w:rPr>
        <w:t> </w:t>
      </w:r>
      <w:r>
        <w:rPr/>
        <w:t>PP</w:t>
      </w:r>
      <w:r>
        <w:rPr>
          <w:spacing w:val="-15"/>
        </w:rPr>
        <w:t> </w:t>
      </w:r>
      <w:r>
        <w:rPr/>
        <w:t>tersebut</w:t>
      </w:r>
      <w:r>
        <w:rPr>
          <w:spacing w:val="-9"/>
        </w:rPr>
        <w:t> </w:t>
      </w:r>
      <w:r>
        <w:rPr/>
        <w:t>belum</w:t>
      </w:r>
      <w:r>
        <w:rPr>
          <w:spacing w:val="-15"/>
        </w:rPr>
        <w:t> </w:t>
      </w:r>
      <w:r>
        <w:rPr/>
        <w:t>terbit.</w:t>
      </w:r>
      <w:r>
        <w:rPr>
          <w:spacing w:val="-14"/>
        </w:rPr>
        <w:t> </w:t>
      </w:r>
      <w:r>
        <w:rPr/>
        <w:t>Hal ini perlu disikapi oleh pemerintah daerah sehingga pelaksanaan kerjasama daerah dapat berjalan dan terwujud dengan baik sebagaimana amanat dalam Undang-undang 23 Tahun 2014 Tentang Pemerintahan Daerah.</w:t>
      </w:r>
    </w:p>
    <w:p>
      <w:pPr>
        <w:pStyle w:val="BodyText"/>
        <w:spacing w:after="0" w:line="360" w:lineRule="auto"/>
        <w:sectPr>
          <w:pgSz w:w="11910" w:h="16840"/>
          <w:pgMar w:header="0" w:footer="1186" w:top="1920" w:bottom="1380" w:left="1700" w:right="992"/>
        </w:sectPr>
      </w:pPr>
    </w:p>
    <w:p>
      <w:pPr>
        <w:pStyle w:val="BodyText"/>
        <w:spacing w:line="360" w:lineRule="auto" w:before="82"/>
        <w:ind w:left="566" w:right="705" w:firstLine="571"/>
      </w:pPr>
      <w:r>
        <w:rPr/>
        <w:t>Amanat Pasal 369 tersebut telah</w:t>
      </w:r>
      <w:r>
        <w:rPr>
          <w:spacing w:val="-1"/>
        </w:rPr>
        <w:t> </w:t>
      </w:r>
      <w:r>
        <w:rPr/>
        <w:t>melahirkan</w:t>
      </w:r>
      <w:r>
        <w:rPr>
          <w:spacing w:val="-1"/>
        </w:rPr>
        <w:t> </w:t>
      </w:r>
      <w:r>
        <w:rPr/>
        <w:t>Peraturan</w:t>
      </w:r>
      <w:r>
        <w:rPr>
          <w:spacing w:val="-1"/>
        </w:rPr>
        <w:t> </w:t>
      </w:r>
      <w:r>
        <w:rPr/>
        <w:t>Pemerintah</w:t>
      </w:r>
      <w:r>
        <w:rPr>
          <w:spacing w:val="-1"/>
        </w:rPr>
        <w:t> </w:t>
      </w:r>
      <w:r>
        <w:rPr/>
        <w:t>28 Tahun 2018 tentang Kerja Sama Daerah yang secara teknis mengatur pelaksanaan kerja sama daerah. Di dalam Pasal 1 disebutkan beberapa istilah kerja sama sebagai berikut :</w:t>
      </w:r>
    </w:p>
    <w:p>
      <w:pPr>
        <w:pStyle w:val="ListParagraph"/>
        <w:numPr>
          <w:ilvl w:val="0"/>
          <w:numId w:val="21"/>
        </w:numPr>
        <w:tabs>
          <w:tab w:pos="991" w:val="left" w:leader="none"/>
          <w:tab w:pos="993" w:val="left" w:leader="none"/>
        </w:tabs>
        <w:spacing w:line="360" w:lineRule="auto" w:before="5" w:after="0"/>
        <w:ind w:left="993" w:right="700" w:hanging="360"/>
        <w:jc w:val="both"/>
        <w:rPr>
          <w:sz w:val="24"/>
        </w:rPr>
      </w:pPr>
      <w:r>
        <w:rPr>
          <w:sz w:val="24"/>
        </w:rPr>
        <w:t>Kerja Sama Daerah adalah usaha bersama antara daerah dan daerah lain, antara daerah dan pihak ketiga, dan/atau antara daerah dan lembaga atau pemerintah daerah di luar negeri yang didasarkan pada pertimbangan efisiensi dan efektivitas pelayanan publik serta saling </w:t>
      </w:r>
      <w:r>
        <w:rPr>
          <w:spacing w:val="-2"/>
          <w:sz w:val="24"/>
        </w:rPr>
        <w:t>menguntungkan.</w:t>
      </w:r>
    </w:p>
    <w:p>
      <w:pPr>
        <w:pStyle w:val="ListParagraph"/>
        <w:numPr>
          <w:ilvl w:val="0"/>
          <w:numId w:val="21"/>
        </w:numPr>
        <w:tabs>
          <w:tab w:pos="993" w:val="left" w:leader="none"/>
        </w:tabs>
        <w:spacing w:line="360" w:lineRule="auto" w:before="0" w:after="0"/>
        <w:ind w:left="993" w:right="700" w:hanging="360"/>
        <w:jc w:val="both"/>
        <w:rPr>
          <w:sz w:val="24"/>
        </w:rPr>
      </w:pPr>
      <w:r>
        <w:rPr>
          <w:sz w:val="24"/>
        </w:rPr>
        <w:t>Kerja Sama Daerah dengan Daerah Lain, yang selanjutnya disingkat KSDD adalah usaha bersama yang dilakukan oleh daerah dengan daerah</w:t>
      </w:r>
      <w:r>
        <w:rPr>
          <w:spacing w:val="-1"/>
          <w:sz w:val="24"/>
        </w:rPr>
        <w:t> </w:t>
      </w:r>
      <w:r>
        <w:rPr>
          <w:sz w:val="24"/>
        </w:rPr>
        <w:t>lain</w:t>
      </w:r>
      <w:r>
        <w:rPr>
          <w:spacing w:val="-1"/>
          <w:sz w:val="24"/>
        </w:rPr>
        <w:t> </w:t>
      </w:r>
      <w:r>
        <w:rPr>
          <w:sz w:val="24"/>
        </w:rPr>
        <w:t>dalam rangka penyelenggaraan</w:t>
      </w:r>
      <w:r>
        <w:rPr>
          <w:spacing w:val="-1"/>
          <w:sz w:val="24"/>
        </w:rPr>
        <w:t> </w:t>
      </w:r>
      <w:r>
        <w:rPr>
          <w:sz w:val="24"/>
        </w:rPr>
        <w:t>urusan pemerintahan</w:t>
      </w:r>
      <w:r>
        <w:rPr>
          <w:spacing w:val="-1"/>
          <w:sz w:val="24"/>
        </w:rPr>
        <w:t> </w:t>
      </w:r>
      <w:r>
        <w:rPr>
          <w:sz w:val="24"/>
        </w:rPr>
        <w:t>yang menjadi kewenangan daerah untuk kesejahteraan masyarakat dan percepatan pemenuhan pelayanan publik.</w:t>
      </w:r>
    </w:p>
    <w:p>
      <w:pPr>
        <w:pStyle w:val="ListParagraph"/>
        <w:numPr>
          <w:ilvl w:val="0"/>
          <w:numId w:val="21"/>
        </w:numPr>
        <w:tabs>
          <w:tab w:pos="993" w:val="left" w:leader="none"/>
        </w:tabs>
        <w:spacing w:line="360" w:lineRule="auto" w:before="0" w:after="0"/>
        <w:ind w:left="993" w:right="704" w:hanging="360"/>
        <w:jc w:val="both"/>
        <w:rPr>
          <w:sz w:val="24"/>
        </w:rPr>
      </w:pPr>
      <w:r>
        <w:rPr>
          <w:sz w:val="24"/>
        </w:rPr>
        <w:t>Kerja Sama Daerah dengan Pihak Ketiga, yang selanjutnya disingkat KSDPK</w:t>
      </w:r>
      <w:r>
        <w:rPr>
          <w:spacing w:val="-15"/>
          <w:sz w:val="24"/>
        </w:rPr>
        <w:t> </w:t>
      </w:r>
      <w:r>
        <w:rPr>
          <w:sz w:val="24"/>
        </w:rPr>
        <w:t>adalah</w:t>
      </w:r>
      <w:r>
        <w:rPr>
          <w:spacing w:val="-16"/>
          <w:sz w:val="24"/>
        </w:rPr>
        <w:t> </w:t>
      </w:r>
      <w:r>
        <w:rPr>
          <w:sz w:val="24"/>
        </w:rPr>
        <w:t>usaha</w:t>
      </w:r>
      <w:r>
        <w:rPr>
          <w:spacing w:val="-16"/>
          <w:sz w:val="24"/>
        </w:rPr>
        <w:t> </w:t>
      </w:r>
      <w:r>
        <w:rPr>
          <w:sz w:val="24"/>
        </w:rPr>
        <w:t>bersama</w:t>
      </w:r>
      <w:r>
        <w:rPr>
          <w:spacing w:val="-16"/>
          <w:sz w:val="24"/>
        </w:rPr>
        <w:t> </w:t>
      </w:r>
      <w:r>
        <w:rPr>
          <w:sz w:val="24"/>
        </w:rPr>
        <w:t>yang</w:t>
      </w:r>
      <w:r>
        <w:rPr>
          <w:spacing w:val="-17"/>
          <w:sz w:val="24"/>
        </w:rPr>
        <w:t> </w:t>
      </w:r>
      <w:r>
        <w:rPr>
          <w:sz w:val="24"/>
        </w:rPr>
        <w:t>dilakukan</w:t>
      </w:r>
      <w:r>
        <w:rPr>
          <w:spacing w:val="-15"/>
          <w:sz w:val="24"/>
        </w:rPr>
        <w:t> </w:t>
      </w:r>
      <w:r>
        <w:rPr>
          <w:sz w:val="24"/>
        </w:rPr>
        <w:t>oleh</w:t>
      </w:r>
      <w:r>
        <w:rPr>
          <w:spacing w:val="-16"/>
          <w:sz w:val="24"/>
        </w:rPr>
        <w:t> </w:t>
      </w:r>
      <w:r>
        <w:rPr>
          <w:sz w:val="24"/>
        </w:rPr>
        <w:t>daerah</w:t>
      </w:r>
      <w:r>
        <w:rPr>
          <w:spacing w:val="-15"/>
          <w:sz w:val="24"/>
        </w:rPr>
        <w:t> </w:t>
      </w:r>
      <w:r>
        <w:rPr>
          <w:sz w:val="24"/>
        </w:rPr>
        <w:t>dengan</w:t>
      </w:r>
      <w:r>
        <w:rPr>
          <w:spacing w:val="-15"/>
          <w:sz w:val="24"/>
        </w:rPr>
        <w:t> </w:t>
      </w:r>
      <w:r>
        <w:rPr>
          <w:sz w:val="24"/>
        </w:rPr>
        <w:t>pihak ketiga dalam rangka penyelenggaraan urusan pemerintahan yang menjadi kewenangan daerah untuk meningkatkan kesejahteraan masyarakat dan percepatan pemenuhan pelayanan publik.</w:t>
      </w:r>
    </w:p>
    <w:p>
      <w:pPr>
        <w:pStyle w:val="ListParagraph"/>
        <w:numPr>
          <w:ilvl w:val="0"/>
          <w:numId w:val="21"/>
        </w:numPr>
        <w:tabs>
          <w:tab w:pos="991" w:val="left" w:leader="none"/>
          <w:tab w:pos="993" w:val="left" w:leader="none"/>
        </w:tabs>
        <w:spacing w:line="360" w:lineRule="auto" w:before="0" w:after="0"/>
        <w:ind w:left="993" w:right="704" w:hanging="360"/>
        <w:jc w:val="both"/>
        <w:rPr>
          <w:sz w:val="24"/>
        </w:rPr>
      </w:pPr>
      <w:r>
        <w:rPr>
          <w:sz w:val="24"/>
        </w:rPr>
        <w:t>Kerja Sama Daerah dengan Pemerintah Daerah di Luar Negeri, yang selanjutnya</w:t>
      </w:r>
      <w:r>
        <w:rPr>
          <w:spacing w:val="-12"/>
          <w:sz w:val="24"/>
        </w:rPr>
        <w:t> </w:t>
      </w:r>
      <w:r>
        <w:rPr>
          <w:sz w:val="24"/>
        </w:rPr>
        <w:t>disingkat</w:t>
      </w:r>
      <w:r>
        <w:rPr>
          <w:spacing w:val="-10"/>
          <w:sz w:val="24"/>
        </w:rPr>
        <w:t> </w:t>
      </w:r>
      <w:r>
        <w:rPr>
          <w:sz w:val="24"/>
        </w:rPr>
        <w:t>KSDPL</w:t>
      </w:r>
      <w:r>
        <w:rPr>
          <w:spacing w:val="-8"/>
          <w:sz w:val="24"/>
        </w:rPr>
        <w:t> </w:t>
      </w:r>
      <w:r>
        <w:rPr>
          <w:sz w:val="24"/>
        </w:rPr>
        <w:t>adalah</w:t>
      </w:r>
      <w:r>
        <w:rPr>
          <w:spacing w:val="-12"/>
          <w:sz w:val="24"/>
        </w:rPr>
        <w:t> </w:t>
      </w:r>
      <w:r>
        <w:rPr>
          <w:sz w:val="24"/>
        </w:rPr>
        <w:t>usaha</w:t>
      </w:r>
      <w:r>
        <w:rPr>
          <w:spacing w:val="-12"/>
          <w:sz w:val="24"/>
        </w:rPr>
        <w:t> </w:t>
      </w:r>
      <w:r>
        <w:rPr>
          <w:sz w:val="24"/>
        </w:rPr>
        <w:t>bersama</w:t>
      </w:r>
      <w:r>
        <w:rPr>
          <w:spacing w:val="-13"/>
          <w:sz w:val="24"/>
        </w:rPr>
        <w:t> </w:t>
      </w:r>
      <w:r>
        <w:rPr>
          <w:sz w:val="24"/>
        </w:rPr>
        <w:t>yang</w:t>
      </w:r>
      <w:r>
        <w:rPr>
          <w:spacing w:val="-16"/>
          <w:sz w:val="24"/>
        </w:rPr>
        <w:t> </w:t>
      </w:r>
      <w:r>
        <w:rPr>
          <w:sz w:val="24"/>
        </w:rPr>
        <w:t>dilakukan</w:t>
      </w:r>
      <w:r>
        <w:rPr>
          <w:spacing w:val="-11"/>
          <w:sz w:val="24"/>
        </w:rPr>
        <w:t> </w:t>
      </w:r>
      <w:r>
        <w:rPr>
          <w:sz w:val="24"/>
        </w:rPr>
        <w:t>oleh daerah dengan pemerintah daerah di luar negeri dalam rangka penyelenggaraan urusan pemerintahan yang menjadi kewenangan daerah</w:t>
      </w:r>
      <w:r>
        <w:rPr>
          <w:spacing w:val="-2"/>
          <w:sz w:val="24"/>
        </w:rPr>
        <w:t> </w:t>
      </w:r>
      <w:r>
        <w:rPr>
          <w:sz w:val="24"/>
        </w:rPr>
        <w:t>untuk</w:t>
      </w:r>
      <w:r>
        <w:rPr>
          <w:spacing w:val="-1"/>
          <w:sz w:val="24"/>
        </w:rPr>
        <w:t> </w:t>
      </w:r>
      <w:r>
        <w:rPr>
          <w:sz w:val="24"/>
        </w:rPr>
        <w:t>meningkatkan</w:t>
      </w:r>
      <w:r>
        <w:rPr>
          <w:spacing w:val="-2"/>
          <w:sz w:val="24"/>
        </w:rPr>
        <w:t> </w:t>
      </w:r>
      <w:r>
        <w:rPr>
          <w:sz w:val="24"/>
        </w:rPr>
        <w:t>kesejahteraan</w:t>
      </w:r>
      <w:r>
        <w:rPr>
          <w:spacing w:val="-2"/>
          <w:sz w:val="24"/>
        </w:rPr>
        <w:t> </w:t>
      </w:r>
      <w:r>
        <w:rPr>
          <w:sz w:val="24"/>
        </w:rPr>
        <w:t>masyarakat dan percepatan pemenuhan pelayanan publik.</w:t>
      </w:r>
    </w:p>
    <w:p>
      <w:pPr>
        <w:pStyle w:val="ListParagraph"/>
        <w:numPr>
          <w:ilvl w:val="0"/>
          <w:numId w:val="21"/>
        </w:numPr>
        <w:tabs>
          <w:tab w:pos="991" w:val="left" w:leader="none"/>
          <w:tab w:pos="993" w:val="left" w:leader="none"/>
        </w:tabs>
        <w:spacing w:line="360" w:lineRule="auto" w:before="4" w:after="0"/>
        <w:ind w:left="993" w:right="706" w:hanging="360"/>
        <w:jc w:val="both"/>
        <w:rPr>
          <w:sz w:val="24"/>
        </w:rPr>
      </w:pPr>
      <w:r>
        <w:rPr>
          <w:sz w:val="24"/>
        </w:rPr>
        <w:t>Kerja Sama Daerah dengan Lembaga di Luar Negeri, yang selanjutnya disingkat KSDLL adalah usaha bersama yang dilakukan oleh daerah dengan lembaga di luar negeri dalam rangka penyelenggaraan urusan</w:t>
      </w:r>
    </w:p>
    <w:p>
      <w:pPr>
        <w:pStyle w:val="ListParagraph"/>
        <w:spacing w:after="0" w:line="360" w:lineRule="auto"/>
        <w:jc w:val="both"/>
        <w:rPr>
          <w:sz w:val="24"/>
        </w:rPr>
        <w:sectPr>
          <w:pgSz w:w="11910" w:h="16840"/>
          <w:pgMar w:header="0" w:footer="1186" w:top="1580" w:bottom="1380" w:left="1700" w:right="992"/>
        </w:sectPr>
      </w:pPr>
    </w:p>
    <w:p>
      <w:pPr>
        <w:pStyle w:val="BodyText"/>
        <w:spacing w:line="360" w:lineRule="auto" w:before="82"/>
        <w:ind w:left="993" w:right="705"/>
      </w:pPr>
      <w:r>
        <w:rPr/>
        <w:t>pemerintahan yang menjadi kewenangan daerah untuk meningkatkan kesejahteraan masyarakat dan percepatan pemenuhan pelayanan </w:t>
      </w:r>
      <w:r>
        <w:rPr>
          <w:spacing w:val="-2"/>
        </w:rPr>
        <w:t>publik.</w:t>
      </w:r>
    </w:p>
    <w:p>
      <w:pPr>
        <w:pStyle w:val="BodyText"/>
        <w:spacing w:line="360" w:lineRule="auto" w:before="4"/>
        <w:ind w:left="566" w:right="706" w:firstLine="571"/>
      </w:pPr>
      <w:r>
        <w:rPr/>
        <w:t>Pada pasal 363 ayat (2) Undang-Undang Nomor 23 Tahun 2014 tentang Pemerintahan Daerah dinyatakan bahwa “kerjasama sebagaimana dimaksud pada ayat (1) oleh daerah dengan:</w:t>
      </w:r>
    </w:p>
    <w:p>
      <w:pPr>
        <w:pStyle w:val="ListParagraph"/>
        <w:numPr>
          <w:ilvl w:val="0"/>
          <w:numId w:val="22"/>
        </w:numPr>
        <w:tabs>
          <w:tab w:pos="991" w:val="left" w:leader="none"/>
        </w:tabs>
        <w:spacing w:line="318" w:lineRule="exact" w:before="0" w:after="0"/>
        <w:ind w:left="991" w:right="0" w:hanging="358"/>
        <w:jc w:val="both"/>
        <w:rPr>
          <w:sz w:val="24"/>
        </w:rPr>
      </w:pPr>
      <w:r>
        <w:rPr>
          <w:sz w:val="24"/>
        </w:rPr>
        <w:t>Daerah</w:t>
      </w:r>
      <w:r>
        <w:rPr>
          <w:spacing w:val="-9"/>
          <w:sz w:val="24"/>
        </w:rPr>
        <w:t> </w:t>
      </w:r>
      <w:r>
        <w:rPr>
          <w:spacing w:val="-2"/>
          <w:sz w:val="24"/>
        </w:rPr>
        <w:t>lain;</w:t>
      </w:r>
    </w:p>
    <w:p>
      <w:pPr>
        <w:pStyle w:val="ListParagraph"/>
        <w:numPr>
          <w:ilvl w:val="0"/>
          <w:numId w:val="22"/>
        </w:numPr>
        <w:tabs>
          <w:tab w:pos="992" w:val="left" w:leader="none"/>
        </w:tabs>
        <w:spacing w:line="240" w:lineRule="auto" w:before="161" w:after="0"/>
        <w:ind w:left="992" w:right="0" w:hanging="359"/>
        <w:jc w:val="both"/>
        <w:rPr>
          <w:sz w:val="24"/>
        </w:rPr>
      </w:pPr>
      <w:r>
        <w:rPr>
          <w:sz w:val="24"/>
        </w:rPr>
        <w:t>Pihak</w:t>
      </w:r>
      <w:r>
        <w:rPr>
          <w:spacing w:val="-7"/>
          <w:sz w:val="24"/>
        </w:rPr>
        <w:t> </w:t>
      </w:r>
      <w:r>
        <w:rPr>
          <w:sz w:val="24"/>
        </w:rPr>
        <w:t>Ketiga;</w:t>
      </w:r>
      <w:r>
        <w:rPr>
          <w:spacing w:val="-6"/>
          <w:sz w:val="24"/>
        </w:rPr>
        <w:t> </w:t>
      </w:r>
      <w:r>
        <w:rPr>
          <w:spacing w:val="-2"/>
          <w:sz w:val="24"/>
        </w:rPr>
        <w:t>dan/atau</w:t>
      </w:r>
    </w:p>
    <w:p>
      <w:pPr>
        <w:pStyle w:val="ListParagraph"/>
        <w:numPr>
          <w:ilvl w:val="0"/>
          <w:numId w:val="22"/>
        </w:numPr>
        <w:tabs>
          <w:tab w:pos="993" w:val="left" w:leader="none"/>
        </w:tabs>
        <w:spacing w:line="362" w:lineRule="auto" w:before="161" w:after="0"/>
        <w:ind w:left="993" w:right="705" w:hanging="360"/>
        <w:jc w:val="both"/>
        <w:rPr>
          <w:sz w:val="24"/>
        </w:rPr>
      </w:pPr>
      <w:r>
        <w:rPr>
          <w:sz w:val="24"/>
        </w:rPr>
        <w:t>Lembaga atau Pemerintah daerah di luar negeri sesuai dengan ketentuan peraturan perundang-undangan.</w:t>
      </w:r>
    </w:p>
    <w:p>
      <w:pPr>
        <w:pStyle w:val="BodyText"/>
        <w:spacing w:line="360" w:lineRule="auto"/>
        <w:ind w:left="566" w:right="701" w:firstLine="571"/>
      </w:pPr>
      <w:r>
        <w:rPr/>
        <w:t>Ketentuan Pasal 14 Peraturan Pemerintah Nomor 28 Tahun 2018 tentang Kerjasama Daerah menyatakan bahwa pihak ketiga yang dapat menjadi mitra dalam Kerjasama Daerah dalam Kerjasama Daerah Dengan Pihak Ketiga (KSDPK) terdiri atas :</w:t>
      </w:r>
    </w:p>
    <w:p>
      <w:pPr>
        <w:pStyle w:val="ListParagraph"/>
        <w:numPr>
          <w:ilvl w:val="0"/>
          <w:numId w:val="23"/>
        </w:numPr>
        <w:tabs>
          <w:tab w:pos="991" w:val="left" w:leader="none"/>
        </w:tabs>
        <w:spacing w:line="240" w:lineRule="auto" w:before="0" w:after="0"/>
        <w:ind w:left="991" w:right="0" w:hanging="358"/>
        <w:jc w:val="both"/>
        <w:rPr>
          <w:sz w:val="24"/>
        </w:rPr>
      </w:pPr>
      <w:r>
        <w:rPr>
          <w:spacing w:val="-2"/>
          <w:sz w:val="24"/>
        </w:rPr>
        <w:t>Perseorangan;</w:t>
      </w:r>
    </w:p>
    <w:p>
      <w:pPr>
        <w:pStyle w:val="ListParagraph"/>
        <w:numPr>
          <w:ilvl w:val="0"/>
          <w:numId w:val="23"/>
        </w:numPr>
        <w:tabs>
          <w:tab w:pos="993" w:val="left" w:leader="none"/>
        </w:tabs>
        <w:spacing w:line="360" w:lineRule="auto" w:before="152" w:after="0"/>
        <w:ind w:left="993" w:right="700" w:hanging="360"/>
        <w:jc w:val="both"/>
        <w:rPr>
          <w:sz w:val="24"/>
        </w:rPr>
      </w:pPr>
      <w:r>
        <w:rPr>
          <w:sz w:val="24"/>
        </w:rPr>
        <w:t>Badan</w:t>
      </w:r>
      <w:r>
        <w:rPr>
          <w:spacing w:val="-15"/>
          <w:sz w:val="24"/>
        </w:rPr>
        <w:t> </w:t>
      </w:r>
      <w:r>
        <w:rPr>
          <w:sz w:val="24"/>
        </w:rPr>
        <w:t>usaha</w:t>
      </w:r>
      <w:r>
        <w:rPr>
          <w:spacing w:val="-17"/>
          <w:sz w:val="24"/>
        </w:rPr>
        <w:t> </w:t>
      </w:r>
      <w:r>
        <w:rPr>
          <w:sz w:val="24"/>
        </w:rPr>
        <w:t>yang</w:t>
      </w:r>
      <w:r>
        <w:rPr>
          <w:spacing w:val="-15"/>
          <w:sz w:val="24"/>
        </w:rPr>
        <w:t> </w:t>
      </w:r>
      <w:r>
        <w:rPr>
          <w:sz w:val="24"/>
        </w:rPr>
        <w:t>berbadan</w:t>
      </w:r>
      <w:r>
        <w:rPr>
          <w:spacing w:val="-15"/>
          <w:sz w:val="24"/>
        </w:rPr>
        <w:t> </w:t>
      </w:r>
      <w:r>
        <w:rPr>
          <w:sz w:val="24"/>
        </w:rPr>
        <w:t>hukum</w:t>
      </w:r>
      <w:r>
        <w:rPr>
          <w:spacing w:val="-15"/>
          <w:sz w:val="24"/>
        </w:rPr>
        <w:t> </w:t>
      </w:r>
      <w:r>
        <w:rPr>
          <w:sz w:val="24"/>
        </w:rPr>
        <w:t>sesuai</w:t>
      </w:r>
      <w:r>
        <w:rPr>
          <w:spacing w:val="-15"/>
          <w:sz w:val="24"/>
        </w:rPr>
        <w:t> </w:t>
      </w:r>
      <w:r>
        <w:rPr>
          <w:sz w:val="24"/>
        </w:rPr>
        <w:t>dengan</w:t>
      </w:r>
      <w:r>
        <w:rPr>
          <w:spacing w:val="-16"/>
          <w:sz w:val="24"/>
        </w:rPr>
        <w:t> </w:t>
      </w:r>
      <w:r>
        <w:rPr>
          <w:sz w:val="24"/>
        </w:rPr>
        <w:t>ketentuan</w:t>
      </w:r>
      <w:r>
        <w:rPr>
          <w:spacing w:val="-15"/>
          <w:sz w:val="24"/>
        </w:rPr>
        <w:t> </w:t>
      </w:r>
      <w:r>
        <w:rPr>
          <w:sz w:val="24"/>
        </w:rPr>
        <w:t>peraturan perundang-undangan yang berlaku;</w:t>
      </w:r>
    </w:p>
    <w:p>
      <w:pPr>
        <w:pStyle w:val="ListParagraph"/>
        <w:numPr>
          <w:ilvl w:val="0"/>
          <w:numId w:val="23"/>
        </w:numPr>
        <w:tabs>
          <w:tab w:pos="993" w:val="left" w:leader="none"/>
        </w:tabs>
        <w:spacing w:line="360" w:lineRule="auto" w:before="3" w:after="0"/>
        <w:ind w:left="993" w:right="701" w:hanging="360"/>
        <w:jc w:val="both"/>
        <w:rPr>
          <w:sz w:val="24"/>
        </w:rPr>
      </w:pPr>
      <w:r>
        <w:rPr>
          <w:sz w:val="24"/>
        </w:rPr>
        <w:t>Organisasi kemasyarakatan baik yang berbadan hukum maupun tidak berbadan hukum sesuai dengan ketentuan peraturan perundang- undangan yang berlaku.</w:t>
      </w:r>
    </w:p>
    <w:p>
      <w:pPr>
        <w:pStyle w:val="BodyText"/>
        <w:spacing w:line="360" w:lineRule="auto"/>
        <w:ind w:left="566" w:right="705" w:firstLine="571"/>
      </w:pPr>
      <w:r>
        <w:rPr/>
        <w:t>Dalam ketentuan Pasal 15 Peraturan Pemerintah Nomor 28 Tahun 2018 tentang Kerjasama Daerah disebutkan bahwa Kerjasama Daerah dengan Pihak Ketiga (KSDPK) meliputi:</w:t>
      </w:r>
    </w:p>
    <w:p>
      <w:pPr>
        <w:pStyle w:val="ListParagraph"/>
        <w:numPr>
          <w:ilvl w:val="0"/>
          <w:numId w:val="24"/>
        </w:numPr>
        <w:tabs>
          <w:tab w:pos="991" w:val="left" w:leader="none"/>
        </w:tabs>
        <w:spacing w:line="318" w:lineRule="exact" w:before="0" w:after="0"/>
        <w:ind w:left="991" w:right="0" w:hanging="358"/>
        <w:jc w:val="left"/>
        <w:rPr>
          <w:sz w:val="24"/>
        </w:rPr>
      </w:pPr>
      <w:r>
        <w:rPr>
          <w:sz w:val="24"/>
        </w:rPr>
        <w:t>kerja</w:t>
      </w:r>
      <w:r>
        <w:rPr>
          <w:spacing w:val="-12"/>
          <w:sz w:val="24"/>
        </w:rPr>
        <w:t> </w:t>
      </w:r>
      <w:r>
        <w:rPr>
          <w:sz w:val="24"/>
        </w:rPr>
        <w:t>sama</w:t>
      </w:r>
      <w:r>
        <w:rPr>
          <w:spacing w:val="-6"/>
          <w:sz w:val="24"/>
        </w:rPr>
        <w:t> </w:t>
      </w:r>
      <w:r>
        <w:rPr>
          <w:sz w:val="24"/>
        </w:rPr>
        <w:t>dalam</w:t>
      </w:r>
      <w:r>
        <w:rPr>
          <w:spacing w:val="-3"/>
          <w:sz w:val="24"/>
        </w:rPr>
        <w:t> </w:t>
      </w:r>
      <w:r>
        <w:rPr>
          <w:sz w:val="24"/>
        </w:rPr>
        <w:t>penyediaan</w:t>
      </w:r>
      <w:r>
        <w:rPr>
          <w:spacing w:val="-4"/>
          <w:sz w:val="24"/>
        </w:rPr>
        <w:t> </w:t>
      </w:r>
      <w:r>
        <w:rPr>
          <w:sz w:val="24"/>
        </w:rPr>
        <w:t>pelayanan</w:t>
      </w:r>
      <w:r>
        <w:rPr>
          <w:spacing w:val="-4"/>
          <w:sz w:val="24"/>
        </w:rPr>
        <w:t> </w:t>
      </w:r>
      <w:r>
        <w:rPr>
          <w:spacing w:val="-2"/>
          <w:sz w:val="24"/>
        </w:rPr>
        <w:t>publik;</w:t>
      </w:r>
    </w:p>
    <w:p>
      <w:pPr>
        <w:pStyle w:val="ListParagraph"/>
        <w:numPr>
          <w:ilvl w:val="0"/>
          <w:numId w:val="24"/>
        </w:numPr>
        <w:tabs>
          <w:tab w:pos="993" w:val="left" w:leader="none"/>
        </w:tabs>
        <w:spacing w:line="360" w:lineRule="auto" w:before="161" w:after="0"/>
        <w:ind w:left="993" w:right="734" w:hanging="360"/>
        <w:jc w:val="left"/>
        <w:rPr>
          <w:sz w:val="24"/>
        </w:rPr>
      </w:pPr>
      <w:r>
        <w:rPr>
          <w:sz w:val="24"/>
        </w:rPr>
        <w:t>kerja sama dalam pengelolaan aset untuk meningkatkan nilai tambah yang memberikan pendapatan bagi daerah;</w:t>
      </w:r>
    </w:p>
    <w:p>
      <w:pPr>
        <w:pStyle w:val="ListParagraph"/>
        <w:numPr>
          <w:ilvl w:val="0"/>
          <w:numId w:val="24"/>
        </w:numPr>
        <w:tabs>
          <w:tab w:pos="992" w:val="left" w:leader="none"/>
        </w:tabs>
        <w:spacing w:line="317" w:lineRule="exact" w:before="0" w:after="0"/>
        <w:ind w:left="992" w:right="0" w:hanging="359"/>
        <w:jc w:val="left"/>
        <w:rPr>
          <w:sz w:val="24"/>
        </w:rPr>
      </w:pPr>
      <w:r>
        <w:rPr>
          <w:sz w:val="24"/>
        </w:rPr>
        <w:t>kerja</w:t>
      </w:r>
      <w:r>
        <w:rPr>
          <w:spacing w:val="-10"/>
          <w:sz w:val="24"/>
        </w:rPr>
        <w:t> </w:t>
      </w:r>
      <w:r>
        <w:rPr>
          <w:sz w:val="24"/>
        </w:rPr>
        <w:t>sama</w:t>
      </w:r>
      <w:r>
        <w:rPr>
          <w:spacing w:val="-9"/>
          <w:sz w:val="24"/>
        </w:rPr>
        <w:t> </w:t>
      </w:r>
      <w:r>
        <w:rPr>
          <w:sz w:val="24"/>
        </w:rPr>
        <w:t>investasi;</w:t>
      </w:r>
      <w:r>
        <w:rPr>
          <w:spacing w:val="-6"/>
          <w:sz w:val="24"/>
        </w:rPr>
        <w:t> </w:t>
      </w:r>
      <w:r>
        <w:rPr>
          <w:spacing w:val="-5"/>
          <w:sz w:val="24"/>
        </w:rPr>
        <w:t>dan</w:t>
      </w:r>
    </w:p>
    <w:p>
      <w:pPr>
        <w:pStyle w:val="ListParagraph"/>
        <w:spacing w:after="0" w:line="317" w:lineRule="exact"/>
        <w:jc w:val="left"/>
        <w:rPr>
          <w:sz w:val="24"/>
        </w:rPr>
        <w:sectPr>
          <w:pgSz w:w="11910" w:h="16840"/>
          <w:pgMar w:header="0" w:footer="1186" w:top="1580" w:bottom="1380" w:left="1700" w:right="992"/>
        </w:sectPr>
      </w:pPr>
    </w:p>
    <w:p>
      <w:pPr>
        <w:pStyle w:val="ListParagraph"/>
        <w:numPr>
          <w:ilvl w:val="0"/>
          <w:numId w:val="24"/>
        </w:numPr>
        <w:tabs>
          <w:tab w:pos="991" w:val="left" w:leader="none"/>
          <w:tab w:pos="993" w:val="left" w:leader="none"/>
        </w:tabs>
        <w:spacing w:line="360" w:lineRule="auto" w:before="82" w:after="0"/>
        <w:ind w:left="993" w:right="705" w:hanging="360"/>
        <w:jc w:val="both"/>
        <w:rPr>
          <w:sz w:val="24"/>
        </w:rPr>
      </w:pPr>
      <w:r>
        <w:rPr>
          <w:sz w:val="24"/>
        </w:rPr>
        <w:t>kerja sama lainnya yang tidak bertentangan dengan ketentuan peraturan perundang-undangan.</w:t>
      </w:r>
    </w:p>
    <w:p>
      <w:pPr>
        <w:pStyle w:val="BodyText"/>
        <w:spacing w:line="360" w:lineRule="auto" w:before="3"/>
        <w:ind w:left="566" w:right="699" w:firstLine="571"/>
      </w:pPr>
      <w:r>
        <w:rPr/>
        <w:t>Kerja sama daerah merupakan salah satu jalan untuk membuka dan menarik</w:t>
      </w:r>
      <w:r>
        <w:rPr>
          <w:spacing w:val="-12"/>
        </w:rPr>
        <w:t> </w:t>
      </w:r>
      <w:r>
        <w:rPr/>
        <w:t>investasi,</w:t>
      </w:r>
      <w:r>
        <w:rPr>
          <w:spacing w:val="-12"/>
        </w:rPr>
        <w:t> </w:t>
      </w:r>
      <w:r>
        <w:rPr/>
        <w:t>kerjasama</w:t>
      </w:r>
      <w:r>
        <w:rPr>
          <w:spacing w:val="-10"/>
        </w:rPr>
        <w:t> </w:t>
      </w:r>
      <w:r>
        <w:rPr/>
        <w:t>daerah</w:t>
      </w:r>
      <w:r>
        <w:rPr>
          <w:spacing w:val="-13"/>
        </w:rPr>
        <w:t> </w:t>
      </w:r>
      <w:r>
        <w:rPr/>
        <w:t>yang</w:t>
      </w:r>
      <w:r>
        <w:rPr>
          <w:spacing w:val="-11"/>
        </w:rPr>
        <w:t> </w:t>
      </w:r>
      <w:r>
        <w:rPr/>
        <w:t>dimaksud</w:t>
      </w:r>
      <w:r>
        <w:rPr>
          <w:spacing w:val="-14"/>
        </w:rPr>
        <w:t> </w:t>
      </w:r>
      <w:r>
        <w:rPr/>
        <w:t>ialah</w:t>
      </w:r>
      <w:r>
        <w:rPr>
          <w:spacing w:val="-13"/>
        </w:rPr>
        <w:t> </w:t>
      </w:r>
      <w:r>
        <w:rPr/>
        <w:t>baik</w:t>
      </w:r>
      <w:r>
        <w:rPr>
          <w:spacing w:val="-12"/>
        </w:rPr>
        <w:t> </w:t>
      </w:r>
      <w:r>
        <w:rPr/>
        <w:t>itu</w:t>
      </w:r>
      <w:r>
        <w:rPr>
          <w:spacing w:val="-14"/>
        </w:rPr>
        <w:t> </w:t>
      </w:r>
      <w:r>
        <w:rPr/>
        <w:t>Kerjasama Daerah dengan Daerah Lain (KSDD) dengan Kerjasama Daerah dengan Pihak Ketiga (KSDPK) maupun tidak menutup kemungkinan Kerjasama Daerah dengan Pemerintah Daerah di Luar Negeri (KSDPL) maupun Kerjasama Daerah dengan Lembaga di Luar Negeri (KSDLL). Kerja sama dengan</w:t>
      </w:r>
      <w:r>
        <w:rPr>
          <w:spacing w:val="-5"/>
        </w:rPr>
        <w:t> </w:t>
      </w:r>
      <w:r>
        <w:rPr/>
        <w:t>Daerah</w:t>
      </w:r>
      <w:r>
        <w:rPr>
          <w:spacing w:val="-5"/>
        </w:rPr>
        <w:t> </w:t>
      </w:r>
      <w:r>
        <w:rPr/>
        <w:t>lain</w:t>
      </w:r>
      <w:r>
        <w:rPr>
          <w:spacing w:val="-5"/>
        </w:rPr>
        <w:t> </w:t>
      </w:r>
      <w:r>
        <w:rPr/>
        <w:t>dikategorikan</w:t>
      </w:r>
      <w:r>
        <w:rPr>
          <w:spacing w:val="-5"/>
        </w:rPr>
        <w:t> </w:t>
      </w:r>
      <w:r>
        <w:rPr/>
        <w:t>menjadi</w:t>
      </w:r>
      <w:r>
        <w:rPr>
          <w:spacing w:val="-5"/>
        </w:rPr>
        <w:t> </w:t>
      </w:r>
      <w:r>
        <w:rPr/>
        <w:t>kerja</w:t>
      </w:r>
      <w:r>
        <w:rPr>
          <w:spacing w:val="-6"/>
        </w:rPr>
        <w:t> </w:t>
      </w:r>
      <w:r>
        <w:rPr/>
        <w:t>sama</w:t>
      </w:r>
      <w:r>
        <w:rPr>
          <w:spacing w:val="-7"/>
        </w:rPr>
        <w:t> </w:t>
      </w:r>
      <w:r>
        <w:rPr/>
        <w:t>wajib</w:t>
      </w:r>
      <w:r>
        <w:rPr>
          <w:spacing w:val="-5"/>
        </w:rPr>
        <w:t> </w:t>
      </w:r>
      <w:r>
        <w:rPr/>
        <w:t>dan</w:t>
      </w:r>
      <w:r>
        <w:rPr>
          <w:spacing w:val="-5"/>
        </w:rPr>
        <w:t> </w:t>
      </w:r>
      <w:r>
        <w:rPr/>
        <w:t>kerja</w:t>
      </w:r>
      <w:r>
        <w:rPr>
          <w:spacing w:val="-6"/>
        </w:rPr>
        <w:t> </w:t>
      </w:r>
      <w:r>
        <w:rPr/>
        <w:t>sama sukarela. Kerja sama wajib merupakan kerja sama antar Daerah yang berbatasan untuk penyelenggaraan Urusan Pemerintahan sedangkan kerja sama sukarela dilaksanakan oleh Daerah yang berbatasan atau tidak berbatasan untuk penyelenggaraan Urusan Pemerintahan yang menjadi kewenangan Daerah namun dipandang lebih efektif dan efisien jika dilaksanakan dengan bekerja sama.</w:t>
      </w:r>
    </w:p>
    <w:p>
      <w:pPr>
        <w:pStyle w:val="BodyText"/>
        <w:spacing w:after="0" w:line="360" w:lineRule="auto"/>
        <w:sectPr>
          <w:pgSz w:w="11910" w:h="16840"/>
          <w:pgMar w:header="0" w:footer="1186" w:top="1580" w:bottom="1380" w:left="1700" w:right="992"/>
        </w:sectPr>
      </w:pPr>
    </w:p>
    <w:p>
      <w:pPr>
        <w:pStyle w:val="Heading1"/>
        <w:spacing w:line="362" w:lineRule="auto"/>
        <w:ind w:left="2775" w:right="2916" w:firstLine="1272"/>
        <w:jc w:val="left"/>
        <w:rPr>
          <w:rFonts w:ascii="Segoe UI"/>
        </w:rPr>
      </w:pPr>
      <w:r>
        <w:rPr>
          <w:rFonts w:ascii="Segoe UI"/>
        </w:rPr>
        <w:t>BAB III </w:t>
      </w:r>
      <w:bookmarkStart w:name="_bookmark21" w:id="22"/>
      <w:bookmarkEnd w:id="22"/>
      <w:r>
        <w:rPr>
          <w:rFonts w:ascii="Segoe UI"/>
          <w:spacing w:val="-2"/>
        </w:rPr>
        <w:t>M</w:t>
      </w:r>
      <w:r>
        <w:rPr>
          <w:rFonts w:ascii="Segoe UI"/>
          <w:spacing w:val="-2"/>
        </w:rPr>
        <w:t>ETODOLOGI</w:t>
      </w:r>
      <w:r>
        <w:rPr>
          <w:rFonts w:ascii="Segoe UI"/>
          <w:spacing w:val="-16"/>
        </w:rPr>
        <w:t> </w:t>
      </w:r>
      <w:r>
        <w:rPr>
          <w:rFonts w:ascii="Segoe UI"/>
          <w:spacing w:val="-2"/>
        </w:rPr>
        <w:t>PENELITIAN</w:t>
      </w:r>
    </w:p>
    <w:p>
      <w:pPr>
        <w:pStyle w:val="BodyText"/>
        <w:spacing w:before="135"/>
        <w:jc w:val="left"/>
        <w:rPr>
          <w:b/>
          <w:sz w:val="28"/>
        </w:rPr>
      </w:pPr>
    </w:p>
    <w:p>
      <w:pPr>
        <w:pStyle w:val="Heading2"/>
        <w:numPr>
          <w:ilvl w:val="1"/>
          <w:numId w:val="25"/>
        </w:numPr>
        <w:tabs>
          <w:tab w:pos="977" w:val="left" w:leader="none"/>
        </w:tabs>
        <w:spacing w:line="240" w:lineRule="auto" w:before="0" w:after="0"/>
        <w:ind w:left="977" w:right="0" w:hanging="411"/>
        <w:jc w:val="both"/>
      </w:pPr>
      <w:bookmarkStart w:name="_bookmark22" w:id="23"/>
      <w:bookmarkEnd w:id="23"/>
      <w:r>
        <w:rPr>
          <w:b w:val="0"/>
        </w:rPr>
      </w:r>
      <w:r>
        <w:rPr>
          <w:spacing w:val="-2"/>
        </w:rPr>
        <w:t>Pendekatan</w:t>
      </w:r>
      <w:r>
        <w:rPr/>
        <w:t> </w:t>
      </w:r>
      <w:r>
        <w:rPr>
          <w:spacing w:val="-2"/>
        </w:rPr>
        <w:t>Penelitian</w:t>
      </w:r>
    </w:p>
    <w:p>
      <w:pPr>
        <w:pStyle w:val="BodyText"/>
        <w:spacing w:line="360" w:lineRule="auto" w:before="224"/>
        <w:ind w:left="993" w:right="700" w:firstLine="566"/>
      </w:pPr>
      <w:r>
        <w:rPr/>
        <w:t>Penelitian ini menggunakan pendekatan Analisis Biaya dan Manfaat/</w:t>
      </w:r>
      <w:r>
        <w:rPr>
          <w:i/>
        </w:rPr>
        <w:t>Cost</w:t>
      </w:r>
      <w:r>
        <w:rPr>
          <w:i/>
          <w:spacing w:val="-1"/>
        </w:rPr>
        <w:t> </w:t>
      </w:r>
      <w:r>
        <w:rPr>
          <w:i/>
        </w:rPr>
        <w:t>Benefit</w:t>
      </w:r>
      <w:r>
        <w:rPr>
          <w:i/>
          <w:spacing w:val="-1"/>
        </w:rPr>
        <w:t> </w:t>
      </w:r>
      <w:r>
        <w:rPr>
          <w:i/>
        </w:rPr>
        <w:t>Analysis </w:t>
      </w:r>
      <w:r>
        <w:rPr/>
        <w:t>(CBA). Besaran potensi dampak ekonomi hilangnya Kecamatan Samboja, Kecamatan Samboja Barat, sebagian Kecamatan Muara Jawa, sebagian Kecamatan Loa Janan, sebagian Kecamatan Loa Kulu, dan sebagian Kecamatan Sanga-Sanga terhadap APBD Kabupaten Kukar dapat dihitung dengan pendekatan Analisis Biaya dan Manfaat/</w:t>
      </w:r>
      <w:r>
        <w:rPr>
          <w:i/>
        </w:rPr>
        <w:t>Cost Benefit Analysis </w:t>
      </w:r>
      <w:r>
        <w:rPr/>
        <w:t>(CBA).</w:t>
      </w:r>
    </w:p>
    <w:p>
      <w:pPr>
        <w:pStyle w:val="BodyText"/>
        <w:spacing w:before="9"/>
        <w:jc w:val="left"/>
      </w:pPr>
    </w:p>
    <w:p>
      <w:pPr>
        <w:spacing w:before="1"/>
        <w:ind w:left="1486" w:right="1628" w:firstLine="0"/>
        <w:jc w:val="center"/>
        <w:rPr>
          <w:rFonts w:ascii="Lucida Sans Unicode"/>
          <w:sz w:val="22"/>
        </w:rPr>
      </w:pPr>
      <w:bookmarkStart w:name="_bookmark23" w:id="24"/>
      <w:bookmarkEnd w:id="24"/>
      <w:r>
        <w:rPr/>
      </w:r>
      <w:r>
        <w:rPr>
          <w:rFonts w:ascii="Tahoma"/>
          <w:b/>
          <w:sz w:val="22"/>
        </w:rPr>
        <w:t>Tabel</w:t>
      </w:r>
      <w:r>
        <w:rPr>
          <w:rFonts w:ascii="Tahoma"/>
          <w:b/>
          <w:spacing w:val="-4"/>
          <w:sz w:val="22"/>
        </w:rPr>
        <w:t> </w:t>
      </w:r>
      <w:r>
        <w:rPr>
          <w:rFonts w:ascii="Tahoma"/>
          <w:b/>
          <w:sz w:val="22"/>
        </w:rPr>
        <w:t>2.</w:t>
      </w:r>
      <w:r>
        <w:rPr>
          <w:rFonts w:ascii="Tahoma"/>
          <w:b/>
          <w:spacing w:val="14"/>
          <w:sz w:val="22"/>
        </w:rPr>
        <w:t> </w:t>
      </w:r>
      <w:r>
        <w:rPr>
          <w:rFonts w:ascii="Lucida Sans Unicode"/>
          <w:sz w:val="22"/>
        </w:rPr>
        <w:t>Komponen</w:t>
      </w:r>
      <w:r>
        <w:rPr>
          <w:rFonts w:ascii="Lucida Sans Unicode"/>
          <w:spacing w:val="9"/>
          <w:sz w:val="22"/>
        </w:rPr>
        <w:t> </w:t>
      </w:r>
      <w:r>
        <w:rPr>
          <w:rFonts w:ascii="Lucida Sans Unicode"/>
          <w:sz w:val="22"/>
        </w:rPr>
        <w:t>Cost</w:t>
      </w:r>
      <w:r>
        <w:rPr>
          <w:rFonts w:ascii="Lucida Sans Unicode"/>
          <w:spacing w:val="10"/>
          <w:sz w:val="22"/>
        </w:rPr>
        <w:t> </w:t>
      </w:r>
      <w:r>
        <w:rPr>
          <w:rFonts w:ascii="Lucida Sans Unicode"/>
          <w:sz w:val="22"/>
        </w:rPr>
        <w:t>Benefit</w:t>
      </w:r>
      <w:r>
        <w:rPr>
          <w:rFonts w:ascii="Lucida Sans Unicode"/>
          <w:spacing w:val="10"/>
          <w:sz w:val="22"/>
        </w:rPr>
        <w:t> </w:t>
      </w:r>
      <w:r>
        <w:rPr>
          <w:rFonts w:ascii="Lucida Sans Unicode"/>
          <w:sz w:val="22"/>
        </w:rPr>
        <w:t>Analysis:</w:t>
      </w:r>
      <w:r>
        <w:rPr>
          <w:rFonts w:ascii="Lucida Sans Unicode"/>
          <w:spacing w:val="13"/>
          <w:sz w:val="22"/>
        </w:rPr>
        <w:t> </w:t>
      </w:r>
      <w:r>
        <w:rPr>
          <w:rFonts w:ascii="Lucida Sans Unicode"/>
          <w:sz w:val="22"/>
        </w:rPr>
        <w:t>Potensi</w:t>
      </w:r>
      <w:r>
        <w:rPr>
          <w:rFonts w:ascii="Lucida Sans Unicode"/>
          <w:spacing w:val="10"/>
          <w:sz w:val="22"/>
        </w:rPr>
        <w:t> </w:t>
      </w:r>
      <w:r>
        <w:rPr>
          <w:rFonts w:ascii="Lucida Sans Unicode"/>
          <w:spacing w:val="-2"/>
          <w:sz w:val="22"/>
        </w:rPr>
        <w:t>Biaya</w:t>
      </w:r>
    </w:p>
    <w:p>
      <w:pPr>
        <w:pStyle w:val="BodyText"/>
        <w:spacing w:before="12" w:after="1"/>
        <w:jc w:val="left"/>
        <w:rPr>
          <w:rFonts w:ascii="Lucida Sans Unicode"/>
          <w:sz w:val="11"/>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4960"/>
      </w:tblGrid>
      <w:tr>
        <w:trPr>
          <w:trHeight w:val="316" w:hRule="atLeast"/>
        </w:trPr>
        <w:tc>
          <w:tcPr>
            <w:tcW w:w="2694" w:type="dxa"/>
          </w:tcPr>
          <w:p>
            <w:pPr>
              <w:pStyle w:val="TableParagraph"/>
              <w:spacing w:line="296" w:lineRule="exact"/>
              <w:ind w:left="26" w:right="21"/>
              <w:jc w:val="center"/>
              <w:rPr>
                <w:b/>
                <w:sz w:val="24"/>
              </w:rPr>
            </w:pPr>
            <w:r>
              <w:rPr>
                <w:b/>
                <w:spacing w:val="-2"/>
                <w:sz w:val="24"/>
              </w:rPr>
              <w:t>Keterangan</w:t>
            </w:r>
          </w:p>
        </w:tc>
        <w:tc>
          <w:tcPr>
            <w:tcW w:w="4960" w:type="dxa"/>
          </w:tcPr>
          <w:p>
            <w:pPr>
              <w:pStyle w:val="TableParagraph"/>
              <w:spacing w:line="296" w:lineRule="exact"/>
              <w:ind w:left="1075"/>
              <w:rPr>
                <w:b/>
                <w:sz w:val="24"/>
              </w:rPr>
            </w:pPr>
            <w:r>
              <w:rPr>
                <w:b/>
                <w:sz w:val="24"/>
              </w:rPr>
              <w:t>Komponen</w:t>
            </w:r>
            <w:r>
              <w:rPr>
                <w:b/>
                <w:spacing w:val="-9"/>
                <w:sz w:val="24"/>
              </w:rPr>
              <w:t> </w:t>
            </w:r>
            <w:r>
              <w:rPr>
                <w:b/>
                <w:sz w:val="24"/>
              </w:rPr>
              <w:t>Potensi</w:t>
            </w:r>
            <w:r>
              <w:rPr>
                <w:b/>
                <w:spacing w:val="-8"/>
                <w:sz w:val="24"/>
              </w:rPr>
              <w:t> </w:t>
            </w:r>
            <w:r>
              <w:rPr>
                <w:b/>
                <w:spacing w:val="-4"/>
                <w:sz w:val="24"/>
              </w:rPr>
              <w:t>Biaya</w:t>
            </w:r>
          </w:p>
        </w:tc>
      </w:tr>
      <w:tr>
        <w:trPr>
          <w:trHeight w:val="964" w:hRule="atLeast"/>
        </w:trPr>
        <w:tc>
          <w:tcPr>
            <w:tcW w:w="2694" w:type="dxa"/>
          </w:tcPr>
          <w:p>
            <w:pPr>
              <w:pStyle w:val="TableParagraph"/>
              <w:ind w:left="19" w:right="40"/>
              <w:jc w:val="center"/>
              <w:rPr>
                <w:sz w:val="24"/>
              </w:rPr>
            </w:pPr>
            <w:r>
              <w:rPr>
                <w:sz w:val="24"/>
              </w:rPr>
              <w:t>Potensi</w:t>
            </w:r>
            <w:r>
              <w:rPr>
                <w:spacing w:val="-9"/>
                <w:sz w:val="24"/>
              </w:rPr>
              <w:t> </w:t>
            </w:r>
            <w:r>
              <w:rPr>
                <w:sz w:val="24"/>
              </w:rPr>
              <w:t>Biaya</w:t>
            </w:r>
            <w:r>
              <w:rPr>
                <w:spacing w:val="-10"/>
                <w:sz w:val="24"/>
              </w:rPr>
              <w:t> </w:t>
            </w:r>
            <w:r>
              <w:rPr>
                <w:spacing w:val="-2"/>
                <w:sz w:val="24"/>
              </w:rPr>
              <w:t>langsung</w:t>
            </w:r>
          </w:p>
        </w:tc>
        <w:tc>
          <w:tcPr>
            <w:tcW w:w="4960" w:type="dxa"/>
          </w:tcPr>
          <w:p>
            <w:pPr>
              <w:pStyle w:val="TableParagraph"/>
              <w:numPr>
                <w:ilvl w:val="0"/>
                <w:numId w:val="26"/>
              </w:numPr>
              <w:tabs>
                <w:tab w:pos="470" w:val="left" w:leader="none"/>
              </w:tabs>
              <w:spacing w:line="323" w:lineRule="exact" w:before="0" w:after="0"/>
              <w:ind w:left="470" w:right="0" w:hanging="360"/>
              <w:jc w:val="left"/>
              <w:rPr>
                <w:sz w:val="24"/>
              </w:rPr>
            </w:pPr>
            <w:r>
              <w:rPr>
                <w:sz w:val="24"/>
              </w:rPr>
              <w:t>Hilangnya</w:t>
            </w:r>
            <w:r>
              <w:rPr>
                <w:spacing w:val="-9"/>
                <w:sz w:val="24"/>
              </w:rPr>
              <w:t> </w:t>
            </w:r>
            <w:r>
              <w:rPr>
                <w:sz w:val="24"/>
              </w:rPr>
              <w:t>PAD</w:t>
            </w:r>
            <w:r>
              <w:rPr>
                <w:spacing w:val="-2"/>
                <w:sz w:val="24"/>
              </w:rPr>
              <w:t> </w:t>
            </w:r>
            <w:r>
              <w:rPr>
                <w:sz w:val="24"/>
              </w:rPr>
              <w:t>di</w:t>
            </w:r>
            <w:r>
              <w:rPr>
                <w:spacing w:val="-7"/>
                <w:sz w:val="24"/>
              </w:rPr>
              <w:t> </w:t>
            </w:r>
            <w:r>
              <w:rPr>
                <w:sz w:val="24"/>
              </w:rPr>
              <w:t>enam</w:t>
            </w:r>
            <w:r>
              <w:rPr>
                <w:spacing w:val="-2"/>
                <w:sz w:val="24"/>
              </w:rPr>
              <w:t> kecamatan.</w:t>
            </w:r>
          </w:p>
          <w:p>
            <w:pPr>
              <w:pStyle w:val="TableParagraph"/>
              <w:numPr>
                <w:ilvl w:val="0"/>
                <w:numId w:val="26"/>
              </w:numPr>
              <w:tabs>
                <w:tab w:pos="470" w:val="left" w:leader="none"/>
                <w:tab w:pos="2189" w:val="left" w:leader="none"/>
                <w:tab w:pos="2924" w:val="left" w:leader="none"/>
                <w:tab w:pos="3826" w:val="left" w:leader="none"/>
              </w:tabs>
              <w:spacing w:line="322" w:lineRule="exact" w:before="0" w:after="0"/>
              <w:ind w:left="470" w:right="106" w:hanging="361"/>
              <w:jc w:val="left"/>
              <w:rPr>
                <w:sz w:val="24"/>
              </w:rPr>
            </w:pPr>
            <w:r>
              <w:rPr>
                <w:spacing w:val="-2"/>
                <w:sz w:val="24"/>
              </w:rPr>
              <w:t>Berkurangnya</w:t>
            </w:r>
            <w:r>
              <w:rPr>
                <w:sz w:val="24"/>
              </w:rPr>
              <w:tab/>
            </w:r>
            <w:r>
              <w:rPr>
                <w:spacing w:val="-4"/>
                <w:sz w:val="24"/>
              </w:rPr>
              <w:t>DBH</w:t>
            </w:r>
            <w:r>
              <w:rPr>
                <w:sz w:val="24"/>
              </w:rPr>
              <w:tab/>
            </w:r>
            <w:r>
              <w:rPr>
                <w:spacing w:val="-2"/>
                <w:sz w:val="24"/>
              </w:rPr>
              <w:t>akibat</w:t>
            </w:r>
            <w:r>
              <w:rPr>
                <w:sz w:val="24"/>
              </w:rPr>
              <w:tab/>
            </w:r>
            <w:r>
              <w:rPr>
                <w:spacing w:val="-2"/>
                <w:sz w:val="24"/>
              </w:rPr>
              <w:t>hilangnya </w:t>
            </w:r>
            <w:r>
              <w:rPr>
                <w:sz w:val="24"/>
              </w:rPr>
              <w:t>enam kecamatan</w:t>
            </w:r>
          </w:p>
        </w:tc>
      </w:tr>
      <w:tr>
        <w:trPr>
          <w:trHeight w:val="1586" w:hRule="atLeast"/>
        </w:trPr>
        <w:tc>
          <w:tcPr>
            <w:tcW w:w="2694" w:type="dxa"/>
          </w:tcPr>
          <w:p>
            <w:pPr>
              <w:pStyle w:val="TableParagraph"/>
              <w:tabs>
                <w:tab w:pos="1200" w:val="left" w:leader="none"/>
                <w:tab w:pos="2069" w:val="left" w:leader="none"/>
              </w:tabs>
              <w:spacing w:line="242" w:lineRule="auto"/>
              <w:ind w:left="110" w:right="94"/>
              <w:rPr>
                <w:sz w:val="24"/>
              </w:rPr>
            </w:pPr>
            <w:r>
              <w:rPr>
                <w:spacing w:val="-2"/>
                <w:sz w:val="24"/>
              </w:rPr>
              <w:t>Potensi</w:t>
            </w:r>
            <w:r>
              <w:rPr>
                <w:sz w:val="24"/>
              </w:rPr>
              <w:tab/>
            </w:r>
            <w:r>
              <w:rPr>
                <w:spacing w:val="-4"/>
                <w:sz w:val="24"/>
              </w:rPr>
              <w:t>biaya</w:t>
            </w:r>
            <w:r>
              <w:rPr>
                <w:sz w:val="24"/>
              </w:rPr>
              <w:tab/>
            </w:r>
            <w:r>
              <w:rPr>
                <w:spacing w:val="-4"/>
                <w:sz w:val="24"/>
              </w:rPr>
              <w:t>tidak </w:t>
            </w:r>
            <w:r>
              <w:rPr>
                <w:spacing w:val="-2"/>
                <w:sz w:val="24"/>
              </w:rPr>
              <w:t>langsung</w:t>
            </w:r>
          </w:p>
        </w:tc>
        <w:tc>
          <w:tcPr>
            <w:tcW w:w="4960" w:type="dxa"/>
          </w:tcPr>
          <w:p>
            <w:pPr>
              <w:pStyle w:val="TableParagraph"/>
              <w:spacing w:line="237" w:lineRule="auto" w:before="1"/>
              <w:ind w:left="470" w:right="93" w:hanging="361"/>
              <w:jc w:val="both"/>
              <w:rPr>
                <w:sz w:val="24"/>
              </w:rPr>
            </w:pPr>
            <w:r>
              <w:rPr>
                <w:rFonts w:ascii="Calibri"/>
                <w:b/>
                <w:sz w:val="24"/>
              </w:rPr>
              <w:t>- </w:t>
            </w:r>
            <w:r>
              <w:rPr>
                <w:sz w:val="24"/>
              </w:rPr>
              <w:t>Berkurangnya PAD di kecamatan- kecamatan yang masih tergabung dalam Kabupaten</w:t>
            </w:r>
            <w:r>
              <w:rPr>
                <w:spacing w:val="62"/>
                <w:sz w:val="24"/>
              </w:rPr>
              <w:t>  </w:t>
            </w:r>
            <w:r>
              <w:rPr>
                <w:sz w:val="24"/>
              </w:rPr>
              <w:t>Kutai</w:t>
            </w:r>
            <w:r>
              <w:rPr>
                <w:spacing w:val="62"/>
                <w:sz w:val="24"/>
              </w:rPr>
              <w:t>  </w:t>
            </w:r>
            <w:r>
              <w:rPr>
                <w:sz w:val="24"/>
              </w:rPr>
              <w:t>Kartanegara</w:t>
            </w:r>
            <w:r>
              <w:rPr>
                <w:spacing w:val="61"/>
                <w:sz w:val="24"/>
              </w:rPr>
              <w:t>  </w:t>
            </w:r>
            <w:r>
              <w:rPr>
                <w:spacing w:val="-2"/>
                <w:sz w:val="24"/>
              </w:rPr>
              <w:t>akibat</w:t>
            </w:r>
          </w:p>
          <w:p>
            <w:pPr>
              <w:pStyle w:val="TableParagraph"/>
              <w:spacing w:line="298" w:lineRule="exact" w:before="17"/>
              <w:ind w:left="470" w:right="313"/>
              <w:jc w:val="both"/>
              <w:rPr>
                <w:sz w:val="24"/>
              </w:rPr>
            </w:pPr>
            <w:r>
              <w:rPr>
                <w:sz w:val="24"/>
              </w:rPr>
              <w:t>kontraksi dari pengeluaran pemerintah daerah (</w:t>
            </w:r>
            <w:r>
              <w:rPr>
                <w:i/>
                <w:sz w:val="24"/>
              </w:rPr>
              <w:t>contractinary fiscal policy</w:t>
            </w:r>
            <w:r>
              <w:rPr>
                <w:sz w:val="24"/>
              </w:rPr>
              <w:t>).</w:t>
            </w:r>
          </w:p>
        </w:tc>
      </w:tr>
      <w:tr>
        <w:trPr>
          <w:trHeight w:val="2237" w:hRule="atLeast"/>
        </w:trPr>
        <w:tc>
          <w:tcPr>
            <w:tcW w:w="2694" w:type="dxa"/>
          </w:tcPr>
          <w:p>
            <w:pPr>
              <w:pStyle w:val="TableParagraph"/>
              <w:ind w:left="40" w:right="21"/>
              <w:jc w:val="center"/>
              <w:rPr>
                <w:i/>
                <w:sz w:val="24"/>
              </w:rPr>
            </w:pPr>
            <w:r>
              <w:rPr>
                <w:i/>
                <w:sz w:val="24"/>
              </w:rPr>
              <w:t>Potensi</w:t>
            </w:r>
            <w:r>
              <w:rPr>
                <w:i/>
                <w:spacing w:val="-15"/>
                <w:sz w:val="24"/>
              </w:rPr>
              <w:t> </w:t>
            </w:r>
            <w:r>
              <w:rPr>
                <w:i/>
                <w:sz w:val="24"/>
              </w:rPr>
              <w:t>opportunity</w:t>
            </w:r>
            <w:r>
              <w:rPr>
                <w:i/>
                <w:spacing w:val="-16"/>
                <w:sz w:val="24"/>
              </w:rPr>
              <w:t> </w:t>
            </w:r>
            <w:r>
              <w:rPr>
                <w:i/>
                <w:spacing w:val="-4"/>
                <w:sz w:val="24"/>
              </w:rPr>
              <w:t>cost</w:t>
            </w:r>
          </w:p>
        </w:tc>
        <w:tc>
          <w:tcPr>
            <w:tcW w:w="4960" w:type="dxa"/>
          </w:tcPr>
          <w:p>
            <w:pPr>
              <w:pStyle w:val="TableParagraph"/>
              <w:numPr>
                <w:ilvl w:val="0"/>
                <w:numId w:val="27"/>
              </w:numPr>
              <w:tabs>
                <w:tab w:pos="468" w:val="left" w:leader="none"/>
                <w:tab w:pos="470" w:val="left" w:leader="none"/>
              </w:tabs>
              <w:spacing w:line="235" w:lineRule="auto" w:before="5" w:after="0"/>
              <w:ind w:left="470" w:right="98" w:hanging="361"/>
              <w:jc w:val="both"/>
              <w:rPr>
                <w:sz w:val="24"/>
              </w:rPr>
            </w:pPr>
            <w:r>
              <w:rPr>
                <w:spacing w:val="-2"/>
                <w:sz w:val="24"/>
              </w:rPr>
              <w:t>Berkurangnya kemampuan meningkatkan </w:t>
            </w:r>
            <w:r>
              <w:rPr>
                <w:sz w:val="24"/>
              </w:rPr>
              <w:t>pelayanan dasar.</w:t>
            </w:r>
          </w:p>
          <w:p>
            <w:pPr>
              <w:pStyle w:val="TableParagraph"/>
              <w:numPr>
                <w:ilvl w:val="0"/>
                <w:numId w:val="27"/>
              </w:numPr>
              <w:tabs>
                <w:tab w:pos="468" w:val="left" w:leader="none"/>
                <w:tab w:pos="470" w:val="left" w:leader="none"/>
              </w:tabs>
              <w:spacing w:line="237" w:lineRule="auto" w:before="2" w:after="0"/>
              <w:ind w:left="470" w:right="97" w:hanging="361"/>
              <w:jc w:val="both"/>
              <w:rPr>
                <w:sz w:val="24"/>
              </w:rPr>
            </w:pPr>
            <w:r>
              <w:rPr>
                <w:sz w:val="24"/>
              </w:rPr>
              <w:t>Berkurangnya kesempatan membangun infrastruktur daerah yang lebih </w:t>
            </w:r>
            <w:r>
              <w:rPr>
                <w:spacing w:val="-2"/>
                <w:sz w:val="24"/>
              </w:rPr>
              <w:t>berkualitas.</w:t>
            </w:r>
          </w:p>
          <w:p>
            <w:pPr>
              <w:pStyle w:val="TableParagraph"/>
              <w:numPr>
                <w:ilvl w:val="0"/>
                <w:numId w:val="27"/>
              </w:numPr>
              <w:tabs>
                <w:tab w:pos="469" w:val="left" w:leader="none"/>
              </w:tabs>
              <w:spacing w:line="313" w:lineRule="exact" w:before="0" w:after="0"/>
              <w:ind w:left="469" w:right="0" w:hanging="359"/>
              <w:jc w:val="both"/>
              <w:rPr>
                <w:sz w:val="24"/>
              </w:rPr>
            </w:pPr>
            <w:r>
              <w:rPr>
                <w:sz w:val="24"/>
              </w:rPr>
              <w:t>Berkurangnya</w:t>
            </w:r>
            <w:r>
              <w:rPr>
                <w:spacing w:val="70"/>
                <w:w w:val="150"/>
                <w:sz w:val="24"/>
              </w:rPr>
              <w:t>  </w:t>
            </w:r>
            <w:r>
              <w:rPr>
                <w:sz w:val="24"/>
              </w:rPr>
              <w:t>potensi</w:t>
            </w:r>
            <w:r>
              <w:rPr>
                <w:spacing w:val="73"/>
                <w:w w:val="150"/>
                <w:sz w:val="24"/>
              </w:rPr>
              <w:t>  </w:t>
            </w:r>
            <w:r>
              <w:rPr>
                <w:spacing w:val="-2"/>
                <w:sz w:val="24"/>
              </w:rPr>
              <w:t>pertumbuhan</w:t>
            </w:r>
          </w:p>
          <w:p>
            <w:pPr>
              <w:pStyle w:val="TableParagraph"/>
              <w:spacing w:line="315" w:lineRule="exact"/>
              <w:ind w:left="470"/>
              <w:jc w:val="both"/>
              <w:rPr>
                <w:sz w:val="24"/>
              </w:rPr>
            </w:pPr>
            <w:r>
              <w:rPr>
                <w:sz w:val="24"/>
              </w:rPr>
              <w:t>ekonomi</w:t>
            </w:r>
            <w:r>
              <w:rPr>
                <w:spacing w:val="-6"/>
                <w:sz w:val="24"/>
              </w:rPr>
              <w:t> </w:t>
            </w:r>
            <w:r>
              <w:rPr>
                <w:sz w:val="24"/>
              </w:rPr>
              <w:t>Kutai</w:t>
            </w:r>
            <w:r>
              <w:rPr>
                <w:spacing w:val="-5"/>
                <w:sz w:val="24"/>
              </w:rPr>
              <w:t> </w:t>
            </w:r>
            <w:r>
              <w:rPr>
                <w:spacing w:val="-2"/>
                <w:sz w:val="24"/>
              </w:rPr>
              <w:t>Kartanegara.</w:t>
            </w:r>
          </w:p>
        </w:tc>
      </w:tr>
    </w:tbl>
    <w:p>
      <w:pPr>
        <w:pStyle w:val="BodyText"/>
        <w:spacing w:before="143"/>
        <w:jc w:val="left"/>
        <w:rPr>
          <w:rFonts w:ascii="Lucida Sans Unicode"/>
          <w:sz w:val="22"/>
        </w:rPr>
      </w:pPr>
    </w:p>
    <w:p>
      <w:pPr>
        <w:pStyle w:val="BodyText"/>
        <w:spacing w:line="360" w:lineRule="auto"/>
        <w:ind w:left="993" w:right="703" w:firstLine="566"/>
      </w:pPr>
      <w:r>
        <w:rPr/>
        <w:t>Mencermati kondisi bahwa hilangnya enam kecamatan di Kabupaten Kutai Kartanegara ini dalam rangka penggabungan ke wilayah IKN, maka perhitungan CBA ini perlu dilakukan secara holistik</w:t>
      </w:r>
    </w:p>
    <w:p>
      <w:pPr>
        <w:pStyle w:val="BodyText"/>
        <w:spacing w:after="0" w:line="360" w:lineRule="auto"/>
        <w:sectPr>
          <w:pgSz w:w="11910" w:h="16840"/>
          <w:pgMar w:header="0" w:footer="1186" w:top="1580" w:bottom="1380" w:left="1700" w:right="992"/>
        </w:sectPr>
      </w:pPr>
    </w:p>
    <w:p>
      <w:pPr>
        <w:spacing w:line="360" w:lineRule="auto" w:before="82"/>
        <w:ind w:left="993" w:right="705" w:firstLine="0"/>
        <w:jc w:val="both"/>
        <w:rPr>
          <w:sz w:val="24"/>
        </w:rPr>
      </w:pPr>
      <w:r>
        <w:rPr>
          <w:sz w:val="24"/>
        </w:rPr>
        <w:t>dengan memperhatikan potensi dampak langsung (</w:t>
      </w:r>
      <w:r>
        <w:rPr>
          <w:i/>
          <w:sz w:val="24"/>
        </w:rPr>
        <w:t>direct impact</w:t>
      </w:r>
      <w:r>
        <w:rPr>
          <w:sz w:val="24"/>
        </w:rPr>
        <w:t>) dan dampak tidak langsung (</w:t>
      </w:r>
      <w:r>
        <w:rPr>
          <w:i/>
          <w:sz w:val="24"/>
        </w:rPr>
        <w:t>indirect impact</w:t>
      </w:r>
      <w:r>
        <w:rPr>
          <w:sz w:val="24"/>
        </w:rPr>
        <w:t>).</w:t>
      </w:r>
    </w:p>
    <w:p>
      <w:pPr>
        <w:pStyle w:val="BodyText"/>
        <w:spacing w:line="360" w:lineRule="auto" w:before="3"/>
        <w:ind w:left="993" w:right="704" w:firstLine="720"/>
      </w:pPr>
      <w:r>
        <w:rPr/>
        <w:t>Dampak langsung akan terjadi dalam dua </w:t>
      </w:r>
      <w:r>
        <w:rPr>
          <w:i/>
        </w:rPr>
        <w:t>rounds </w:t>
      </w:r>
      <w:r>
        <w:rPr/>
        <w:t>yaitu: (a) Dampak langsung terhadap pendapatan daerah dari hilangnya Kecamatan Samboja, Kecamatan Samboja Barat, sebagian Kecamatan Muara Jawa, sebagian Kecamatan Loa Janan, sebagian Kecamatan Loa Kulu,</w:t>
      </w:r>
      <w:r>
        <w:rPr>
          <w:spacing w:val="-14"/>
        </w:rPr>
        <w:t> </w:t>
      </w:r>
      <w:r>
        <w:rPr/>
        <w:t>dan</w:t>
      </w:r>
      <w:r>
        <w:rPr>
          <w:spacing w:val="-16"/>
        </w:rPr>
        <w:t> </w:t>
      </w:r>
      <w:r>
        <w:rPr/>
        <w:t>sebagian</w:t>
      </w:r>
      <w:r>
        <w:rPr>
          <w:spacing w:val="-15"/>
        </w:rPr>
        <w:t> </w:t>
      </w:r>
      <w:r>
        <w:rPr/>
        <w:t>Kecamatan</w:t>
      </w:r>
      <w:r>
        <w:rPr>
          <w:spacing w:val="-15"/>
        </w:rPr>
        <w:t> </w:t>
      </w:r>
      <w:r>
        <w:rPr/>
        <w:t>Sanga-Sanga;</w:t>
      </w:r>
      <w:r>
        <w:rPr>
          <w:spacing w:val="-13"/>
        </w:rPr>
        <w:t> </w:t>
      </w:r>
      <w:r>
        <w:rPr/>
        <w:t>dan</w:t>
      </w:r>
      <w:r>
        <w:rPr>
          <w:spacing w:val="-16"/>
        </w:rPr>
        <w:t> </w:t>
      </w:r>
      <w:r>
        <w:rPr/>
        <w:t>(b)</w:t>
      </w:r>
      <w:r>
        <w:rPr>
          <w:spacing w:val="-14"/>
        </w:rPr>
        <w:t> </w:t>
      </w:r>
      <w:r>
        <w:rPr/>
        <w:t>Dampak</w:t>
      </w:r>
      <w:r>
        <w:rPr>
          <w:spacing w:val="37"/>
        </w:rPr>
        <w:t> </w:t>
      </w:r>
      <w:r>
        <w:rPr/>
        <w:t>langsung terhadap PAD akibat dari terjadinya kontraksi dari pengeluaran pemerintah</w:t>
      </w:r>
      <w:r>
        <w:rPr>
          <w:spacing w:val="-15"/>
        </w:rPr>
        <w:t> </w:t>
      </w:r>
      <w:r>
        <w:rPr/>
        <w:t>Kabupaten</w:t>
      </w:r>
      <w:r>
        <w:rPr>
          <w:spacing w:val="-15"/>
        </w:rPr>
        <w:t> </w:t>
      </w:r>
      <w:r>
        <w:rPr/>
        <w:t>Kukar</w:t>
      </w:r>
      <w:r>
        <w:rPr>
          <w:spacing w:val="-15"/>
        </w:rPr>
        <w:t> </w:t>
      </w:r>
      <w:r>
        <w:rPr/>
        <w:t>(</w:t>
      </w:r>
      <w:r>
        <w:rPr>
          <w:i/>
        </w:rPr>
        <w:t>contractinary</w:t>
      </w:r>
      <w:r>
        <w:rPr>
          <w:i/>
          <w:spacing w:val="-13"/>
        </w:rPr>
        <w:t> </w:t>
      </w:r>
      <w:r>
        <w:rPr>
          <w:i/>
        </w:rPr>
        <w:t>fiscal</w:t>
      </w:r>
      <w:r>
        <w:rPr>
          <w:i/>
          <w:spacing w:val="-13"/>
        </w:rPr>
        <w:t> </w:t>
      </w:r>
      <w:r>
        <w:rPr>
          <w:i/>
        </w:rPr>
        <w:t>policy</w:t>
      </w:r>
      <w:r>
        <w:rPr/>
        <w:t>).</w:t>
      </w:r>
      <w:r>
        <w:rPr>
          <w:spacing w:val="-13"/>
        </w:rPr>
        <w:t> </w:t>
      </w:r>
      <w:r>
        <w:rPr/>
        <w:t>Sementara</w:t>
      </w:r>
      <w:r>
        <w:rPr>
          <w:spacing w:val="-15"/>
        </w:rPr>
        <w:t> </w:t>
      </w:r>
      <w:r>
        <w:rPr/>
        <w:t>itu, Dampak tidak langsung akan berasal dari dinamika ekonomi wilayah sekitarnya (</w:t>
      </w:r>
      <w:r>
        <w:rPr>
          <w:i/>
        </w:rPr>
        <w:t>neighborhood effects</w:t>
      </w:r>
      <w:r>
        <w:rPr/>
        <w:t>). Tabel 1 dan Tabel 2 memperlihatkan komponen CBA dari hilangnya keenam kecamatan di Kabupaten Kutai </w:t>
      </w:r>
      <w:r>
        <w:rPr>
          <w:spacing w:val="-2"/>
        </w:rPr>
        <w:t>Kartanegara.</w:t>
      </w:r>
    </w:p>
    <w:p>
      <w:pPr>
        <w:pStyle w:val="BodyText"/>
        <w:spacing w:before="10"/>
        <w:jc w:val="left"/>
      </w:pPr>
    </w:p>
    <w:p>
      <w:pPr>
        <w:spacing w:before="0"/>
        <w:ind w:left="8" w:right="143" w:firstLine="0"/>
        <w:jc w:val="center"/>
        <w:rPr>
          <w:rFonts w:ascii="Lucida Sans Unicode"/>
          <w:sz w:val="22"/>
        </w:rPr>
      </w:pPr>
      <w:bookmarkStart w:name="_bookmark24" w:id="25"/>
      <w:bookmarkEnd w:id="25"/>
      <w:r>
        <w:rPr/>
      </w:r>
      <w:r>
        <w:rPr>
          <w:rFonts w:ascii="Tahoma"/>
          <w:b/>
          <w:sz w:val="22"/>
        </w:rPr>
        <w:t>Tabel</w:t>
      </w:r>
      <w:r>
        <w:rPr>
          <w:rFonts w:ascii="Tahoma"/>
          <w:b/>
          <w:spacing w:val="-1"/>
          <w:sz w:val="22"/>
        </w:rPr>
        <w:t> </w:t>
      </w:r>
      <w:r>
        <w:rPr>
          <w:rFonts w:ascii="Tahoma"/>
          <w:b/>
          <w:sz w:val="22"/>
        </w:rPr>
        <w:t>3.</w:t>
      </w:r>
      <w:r>
        <w:rPr>
          <w:rFonts w:ascii="Tahoma"/>
          <w:b/>
          <w:spacing w:val="13"/>
          <w:sz w:val="22"/>
        </w:rPr>
        <w:t> </w:t>
      </w:r>
      <w:r>
        <w:rPr>
          <w:rFonts w:ascii="Lucida Sans Unicode"/>
          <w:sz w:val="22"/>
        </w:rPr>
        <w:t>Komponen</w:t>
      </w:r>
      <w:r>
        <w:rPr>
          <w:rFonts w:ascii="Lucida Sans Unicode"/>
          <w:spacing w:val="11"/>
          <w:sz w:val="22"/>
        </w:rPr>
        <w:t> </w:t>
      </w:r>
      <w:r>
        <w:rPr>
          <w:rFonts w:ascii="Lucida Sans Unicode"/>
          <w:sz w:val="22"/>
        </w:rPr>
        <w:t>Cost</w:t>
      </w:r>
      <w:r>
        <w:rPr>
          <w:rFonts w:ascii="Lucida Sans Unicode"/>
          <w:spacing w:val="14"/>
          <w:sz w:val="22"/>
        </w:rPr>
        <w:t> </w:t>
      </w:r>
      <w:r>
        <w:rPr>
          <w:rFonts w:ascii="Lucida Sans Unicode"/>
          <w:sz w:val="22"/>
        </w:rPr>
        <w:t>Benefit</w:t>
      </w:r>
      <w:r>
        <w:rPr>
          <w:rFonts w:ascii="Lucida Sans Unicode"/>
          <w:spacing w:val="13"/>
          <w:sz w:val="22"/>
        </w:rPr>
        <w:t> </w:t>
      </w:r>
      <w:r>
        <w:rPr>
          <w:rFonts w:ascii="Lucida Sans Unicode"/>
          <w:sz w:val="22"/>
        </w:rPr>
        <w:t>Analysis:</w:t>
      </w:r>
      <w:r>
        <w:rPr>
          <w:rFonts w:ascii="Lucida Sans Unicode"/>
          <w:spacing w:val="16"/>
          <w:sz w:val="22"/>
        </w:rPr>
        <w:t> </w:t>
      </w:r>
      <w:r>
        <w:rPr>
          <w:rFonts w:ascii="Lucida Sans Unicode"/>
          <w:sz w:val="22"/>
        </w:rPr>
        <w:t>Potensi</w:t>
      </w:r>
      <w:r>
        <w:rPr>
          <w:rFonts w:ascii="Lucida Sans Unicode"/>
          <w:spacing w:val="9"/>
          <w:sz w:val="22"/>
        </w:rPr>
        <w:t> </w:t>
      </w:r>
      <w:r>
        <w:rPr>
          <w:rFonts w:ascii="Lucida Sans Unicode"/>
          <w:spacing w:val="-2"/>
          <w:sz w:val="22"/>
        </w:rPr>
        <w:t>Manfaat</w:t>
      </w:r>
    </w:p>
    <w:p>
      <w:pPr>
        <w:pStyle w:val="BodyText"/>
        <w:spacing w:before="13"/>
        <w:jc w:val="left"/>
        <w:rPr>
          <w:rFonts w:ascii="Lucida Sans Unicode"/>
          <w:sz w:val="11"/>
        </w:rPr>
      </w:pPr>
    </w:p>
    <w:tbl>
      <w:tblPr>
        <w:tblW w:w="0" w:type="auto"/>
        <w:jc w:val="left"/>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4956"/>
      </w:tblGrid>
      <w:tr>
        <w:trPr>
          <w:trHeight w:val="321" w:hRule="atLeast"/>
        </w:trPr>
        <w:tc>
          <w:tcPr>
            <w:tcW w:w="2555" w:type="dxa"/>
          </w:tcPr>
          <w:p>
            <w:pPr>
              <w:pStyle w:val="TableParagraph"/>
              <w:spacing w:line="301" w:lineRule="exact"/>
              <w:ind w:left="628"/>
              <w:rPr>
                <w:b/>
                <w:sz w:val="24"/>
              </w:rPr>
            </w:pPr>
            <w:r>
              <w:rPr>
                <w:b/>
                <w:spacing w:val="-2"/>
                <w:sz w:val="24"/>
              </w:rPr>
              <w:t>Keterangan</w:t>
            </w:r>
          </w:p>
        </w:tc>
        <w:tc>
          <w:tcPr>
            <w:tcW w:w="4956" w:type="dxa"/>
          </w:tcPr>
          <w:p>
            <w:pPr>
              <w:pStyle w:val="TableParagraph"/>
              <w:spacing w:line="301" w:lineRule="exact"/>
              <w:ind w:left="906"/>
              <w:rPr>
                <w:b/>
                <w:sz w:val="24"/>
              </w:rPr>
            </w:pPr>
            <w:r>
              <w:rPr>
                <w:b/>
                <w:sz w:val="24"/>
              </w:rPr>
              <w:t>Komponen</w:t>
            </w:r>
            <w:r>
              <w:rPr>
                <w:b/>
                <w:spacing w:val="-9"/>
                <w:sz w:val="24"/>
              </w:rPr>
              <w:t> </w:t>
            </w:r>
            <w:r>
              <w:rPr>
                <w:b/>
                <w:sz w:val="24"/>
              </w:rPr>
              <w:t>Potensi</w:t>
            </w:r>
            <w:r>
              <w:rPr>
                <w:b/>
                <w:spacing w:val="-8"/>
                <w:sz w:val="24"/>
              </w:rPr>
              <w:t> </w:t>
            </w:r>
            <w:r>
              <w:rPr>
                <w:b/>
                <w:spacing w:val="-2"/>
                <w:sz w:val="24"/>
              </w:rPr>
              <w:t>Manfaat</w:t>
            </w:r>
          </w:p>
        </w:tc>
      </w:tr>
      <w:tr>
        <w:trPr>
          <w:trHeight w:val="960" w:hRule="atLeast"/>
        </w:trPr>
        <w:tc>
          <w:tcPr>
            <w:tcW w:w="2555" w:type="dxa"/>
          </w:tcPr>
          <w:p>
            <w:pPr>
              <w:pStyle w:val="TableParagraph"/>
              <w:tabs>
                <w:tab w:pos="1584" w:val="left" w:leader="none"/>
              </w:tabs>
              <w:spacing w:line="237" w:lineRule="auto" w:before="2"/>
              <w:ind w:left="110" w:right="99"/>
              <w:rPr>
                <w:sz w:val="24"/>
              </w:rPr>
            </w:pPr>
            <w:r>
              <w:rPr>
                <w:spacing w:val="-2"/>
                <w:sz w:val="24"/>
              </w:rPr>
              <w:t>Potensi</w:t>
            </w:r>
            <w:r>
              <w:rPr>
                <w:sz w:val="24"/>
              </w:rPr>
              <w:tab/>
            </w:r>
            <w:r>
              <w:rPr>
                <w:spacing w:val="-2"/>
                <w:sz w:val="24"/>
              </w:rPr>
              <w:t>manfaat langsung</w:t>
            </w:r>
          </w:p>
        </w:tc>
        <w:tc>
          <w:tcPr>
            <w:tcW w:w="4956" w:type="dxa"/>
          </w:tcPr>
          <w:p>
            <w:pPr>
              <w:pStyle w:val="TableParagraph"/>
              <w:tabs>
                <w:tab w:pos="1334" w:val="left" w:leader="none"/>
                <w:tab w:pos="2025" w:val="left" w:leader="none"/>
                <w:tab w:pos="3864" w:val="left" w:leader="none"/>
                <w:tab w:pos="4263" w:val="left" w:leader="none"/>
              </w:tabs>
              <w:spacing w:line="235" w:lineRule="auto" w:before="5"/>
              <w:ind w:left="470" w:right="94" w:hanging="361"/>
              <w:rPr>
                <w:sz w:val="24"/>
              </w:rPr>
            </w:pPr>
            <w:r>
              <w:rPr>
                <w:rFonts w:ascii="Calibri"/>
                <w:sz w:val="24"/>
              </w:rPr>
              <w:t>-</w:t>
            </w:r>
            <w:r>
              <w:rPr>
                <w:rFonts w:ascii="Calibri"/>
                <w:spacing w:val="-14"/>
                <w:sz w:val="24"/>
              </w:rPr>
              <w:t> </w:t>
            </w:r>
            <w:r>
              <w:rPr>
                <w:sz w:val="24"/>
              </w:rPr>
              <w:t>Berkurangnya</w:t>
            </w:r>
            <w:r>
              <w:rPr>
                <w:spacing w:val="-16"/>
                <w:sz w:val="24"/>
              </w:rPr>
              <w:t> </w:t>
            </w:r>
            <w:r>
              <w:rPr>
                <w:sz w:val="24"/>
              </w:rPr>
              <w:t>alokasi</w:t>
            </w:r>
            <w:r>
              <w:rPr>
                <w:spacing w:val="-17"/>
                <w:sz w:val="24"/>
              </w:rPr>
              <w:t> </w:t>
            </w:r>
            <w:r>
              <w:rPr>
                <w:sz w:val="24"/>
              </w:rPr>
              <w:t>APBD</w:t>
            </w:r>
            <w:r>
              <w:rPr>
                <w:spacing w:val="-16"/>
                <w:sz w:val="24"/>
              </w:rPr>
              <w:t> </w:t>
            </w:r>
            <w:r>
              <w:rPr>
                <w:sz w:val="24"/>
              </w:rPr>
              <w:t>untukpelayanan </w:t>
            </w:r>
            <w:r>
              <w:rPr>
                <w:spacing w:val="-2"/>
                <w:sz w:val="24"/>
              </w:rPr>
              <w:t>dasar</w:t>
            </w:r>
            <w:r>
              <w:rPr>
                <w:sz w:val="24"/>
              </w:rPr>
              <w:tab/>
            </w:r>
            <w:r>
              <w:rPr>
                <w:spacing w:val="-5"/>
                <w:sz w:val="24"/>
              </w:rPr>
              <w:t>dan</w:t>
            </w:r>
            <w:r>
              <w:rPr>
                <w:sz w:val="24"/>
              </w:rPr>
              <w:tab/>
            </w:r>
            <w:r>
              <w:rPr>
                <w:spacing w:val="-2"/>
                <w:sz w:val="24"/>
              </w:rPr>
              <w:t>pembangunan</w:t>
            </w:r>
            <w:r>
              <w:rPr>
                <w:sz w:val="24"/>
              </w:rPr>
              <w:tab/>
            </w:r>
            <w:r>
              <w:rPr>
                <w:spacing w:val="-5"/>
                <w:sz w:val="24"/>
              </w:rPr>
              <w:t>di</w:t>
            </w:r>
            <w:r>
              <w:rPr>
                <w:sz w:val="24"/>
              </w:rPr>
              <w:tab/>
            </w:r>
            <w:r>
              <w:rPr>
                <w:spacing w:val="-4"/>
                <w:sz w:val="24"/>
              </w:rPr>
              <w:t>ena</w:t>
            </w:r>
            <w:r>
              <w:rPr>
                <w:spacing w:val="-4"/>
                <w:sz w:val="24"/>
              </w:rPr>
              <w:t>m</w:t>
            </w:r>
          </w:p>
          <w:p>
            <w:pPr>
              <w:pStyle w:val="TableParagraph"/>
              <w:spacing w:line="301" w:lineRule="exact" w:before="4"/>
              <w:ind w:left="470"/>
              <w:rPr>
                <w:sz w:val="24"/>
              </w:rPr>
            </w:pPr>
            <w:r>
              <w:rPr>
                <w:spacing w:val="-2"/>
                <w:sz w:val="24"/>
              </w:rPr>
              <w:t>kecamatan.</w:t>
            </w:r>
          </w:p>
        </w:tc>
      </w:tr>
      <w:tr>
        <w:trPr>
          <w:trHeight w:val="2870" w:hRule="atLeast"/>
        </w:trPr>
        <w:tc>
          <w:tcPr>
            <w:tcW w:w="2555" w:type="dxa"/>
          </w:tcPr>
          <w:p>
            <w:pPr>
              <w:pStyle w:val="TableParagraph"/>
              <w:spacing w:line="237" w:lineRule="auto" w:before="2"/>
              <w:ind w:left="110"/>
              <w:rPr>
                <w:sz w:val="24"/>
              </w:rPr>
            </w:pPr>
            <w:r>
              <w:rPr>
                <w:sz w:val="24"/>
              </w:rPr>
              <w:t>Potensi</w:t>
            </w:r>
            <w:r>
              <w:rPr>
                <w:spacing w:val="-9"/>
                <w:sz w:val="24"/>
              </w:rPr>
              <w:t> </w:t>
            </w:r>
            <w:r>
              <w:rPr>
                <w:sz w:val="24"/>
              </w:rPr>
              <w:t>manfaat</w:t>
            </w:r>
            <w:r>
              <w:rPr>
                <w:spacing w:val="-8"/>
                <w:sz w:val="24"/>
              </w:rPr>
              <w:t> </w:t>
            </w:r>
            <w:r>
              <w:rPr>
                <w:sz w:val="24"/>
              </w:rPr>
              <w:t>tidak </w:t>
            </w:r>
            <w:r>
              <w:rPr>
                <w:spacing w:val="-2"/>
                <w:sz w:val="24"/>
              </w:rPr>
              <w:t>langsung</w:t>
            </w:r>
          </w:p>
        </w:tc>
        <w:tc>
          <w:tcPr>
            <w:tcW w:w="4956" w:type="dxa"/>
          </w:tcPr>
          <w:p>
            <w:pPr>
              <w:pStyle w:val="TableParagraph"/>
              <w:numPr>
                <w:ilvl w:val="0"/>
                <w:numId w:val="28"/>
              </w:numPr>
              <w:tabs>
                <w:tab w:pos="468" w:val="left" w:leader="none"/>
                <w:tab w:pos="470" w:val="left" w:leader="none"/>
                <w:tab w:pos="2198" w:val="left" w:leader="none"/>
                <w:tab w:pos="3787" w:val="left" w:leader="none"/>
              </w:tabs>
              <w:spacing w:line="235" w:lineRule="auto" w:before="5" w:after="0"/>
              <w:ind w:left="470" w:right="95" w:hanging="361"/>
              <w:jc w:val="both"/>
              <w:rPr>
                <w:sz w:val="24"/>
              </w:rPr>
            </w:pPr>
            <w:r>
              <w:rPr>
                <w:sz w:val="24"/>
              </w:rPr>
              <w:t>Potensi</w:t>
            </w:r>
            <w:r>
              <w:rPr>
                <w:spacing w:val="-6"/>
                <w:sz w:val="24"/>
              </w:rPr>
              <w:t> </w:t>
            </w:r>
            <w:r>
              <w:rPr>
                <w:sz w:val="24"/>
              </w:rPr>
              <w:t>meningkatnya</w:t>
            </w:r>
            <w:r>
              <w:rPr>
                <w:spacing w:val="-8"/>
                <w:sz w:val="24"/>
              </w:rPr>
              <w:t> </w:t>
            </w:r>
            <w:r>
              <w:rPr>
                <w:sz w:val="24"/>
              </w:rPr>
              <w:t>PAD</w:t>
            </w:r>
            <w:r>
              <w:rPr>
                <w:spacing w:val="-6"/>
                <w:sz w:val="24"/>
              </w:rPr>
              <w:t> </w:t>
            </w:r>
            <w:r>
              <w:rPr>
                <w:sz w:val="24"/>
              </w:rPr>
              <w:t>dari</w:t>
            </w:r>
            <w:r>
              <w:rPr>
                <w:spacing w:val="-6"/>
                <w:sz w:val="24"/>
              </w:rPr>
              <w:t> </w:t>
            </w:r>
            <w:r>
              <w:rPr>
                <w:sz w:val="24"/>
              </w:rPr>
              <w:t>dinamika </w:t>
            </w:r>
            <w:r>
              <w:rPr>
                <w:spacing w:val="-2"/>
                <w:sz w:val="24"/>
              </w:rPr>
              <w:t>ekonomi</w:t>
            </w:r>
            <w:r>
              <w:rPr>
                <w:sz w:val="24"/>
              </w:rPr>
              <w:tab/>
            </w:r>
            <w:r>
              <w:rPr>
                <w:spacing w:val="-2"/>
                <w:sz w:val="24"/>
              </w:rPr>
              <w:t>wilayah</w:t>
            </w:r>
            <w:r>
              <w:rPr>
                <w:sz w:val="24"/>
              </w:rPr>
              <w:tab/>
            </w:r>
            <w:r>
              <w:rPr>
                <w:spacing w:val="-2"/>
                <w:sz w:val="24"/>
              </w:rPr>
              <w:t>sekitarnya </w:t>
            </w:r>
            <w:r>
              <w:rPr>
                <w:sz w:val="24"/>
              </w:rPr>
              <w:t>(</w:t>
            </w:r>
            <w:r>
              <w:rPr>
                <w:i/>
                <w:sz w:val="24"/>
              </w:rPr>
              <w:t>neighborhood effects</w:t>
            </w:r>
            <w:r>
              <w:rPr>
                <w:sz w:val="24"/>
              </w:rPr>
              <w:t>).</w:t>
            </w:r>
          </w:p>
          <w:p>
            <w:pPr>
              <w:pStyle w:val="TableParagraph"/>
              <w:numPr>
                <w:ilvl w:val="0"/>
                <w:numId w:val="28"/>
              </w:numPr>
              <w:tabs>
                <w:tab w:pos="468" w:val="left" w:leader="none"/>
              </w:tabs>
              <w:spacing w:line="321" w:lineRule="exact" w:before="0" w:after="0"/>
              <w:ind w:left="468" w:right="0" w:hanging="359"/>
              <w:jc w:val="both"/>
              <w:rPr>
                <w:sz w:val="24"/>
              </w:rPr>
            </w:pPr>
            <w:r>
              <w:rPr>
                <w:sz w:val="24"/>
              </w:rPr>
              <w:t>Perbaikan</w:t>
            </w:r>
            <w:r>
              <w:rPr>
                <w:spacing w:val="-7"/>
                <w:sz w:val="24"/>
              </w:rPr>
              <w:t> </w:t>
            </w:r>
            <w:r>
              <w:rPr>
                <w:sz w:val="24"/>
              </w:rPr>
              <w:t>tata</w:t>
            </w:r>
            <w:r>
              <w:rPr>
                <w:spacing w:val="-6"/>
                <w:sz w:val="24"/>
              </w:rPr>
              <w:t> </w:t>
            </w:r>
            <w:r>
              <w:rPr>
                <w:sz w:val="24"/>
              </w:rPr>
              <w:t>kelola</w:t>
            </w:r>
            <w:r>
              <w:rPr>
                <w:spacing w:val="-7"/>
                <w:sz w:val="24"/>
              </w:rPr>
              <w:t> </w:t>
            </w:r>
            <w:r>
              <w:rPr>
                <w:spacing w:val="-4"/>
                <w:sz w:val="24"/>
              </w:rPr>
              <w:t>PAD.</w:t>
            </w:r>
          </w:p>
          <w:p>
            <w:pPr>
              <w:pStyle w:val="TableParagraph"/>
              <w:numPr>
                <w:ilvl w:val="0"/>
                <w:numId w:val="28"/>
              </w:numPr>
              <w:tabs>
                <w:tab w:pos="468" w:val="left" w:leader="none"/>
                <w:tab w:pos="470" w:val="left" w:leader="none"/>
              </w:tabs>
              <w:spacing w:line="235" w:lineRule="auto" w:before="4" w:after="0"/>
              <w:ind w:left="470" w:right="95" w:hanging="361"/>
              <w:jc w:val="both"/>
              <w:rPr>
                <w:sz w:val="24"/>
              </w:rPr>
            </w:pPr>
            <w:r>
              <w:rPr>
                <w:sz w:val="24"/>
              </w:rPr>
              <w:t>Potensi intensifikasi dan ekstensifikasi basis PAD.</w:t>
            </w:r>
          </w:p>
          <w:p>
            <w:pPr>
              <w:pStyle w:val="TableParagraph"/>
              <w:numPr>
                <w:ilvl w:val="0"/>
                <w:numId w:val="28"/>
              </w:numPr>
              <w:tabs>
                <w:tab w:pos="468" w:val="left" w:leader="none"/>
                <w:tab w:pos="470" w:val="left" w:leader="none"/>
              </w:tabs>
              <w:spacing w:line="321" w:lineRule="exact" w:before="0" w:after="0"/>
              <w:ind w:left="468" w:right="0" w:hanging="359"/>
              <w:jc w:val="both"/>
              <w:rPr>
                <w:sz w:val="24"/>
              </w:rPr>
            </w:pPr>
            <w:r>
              <w:rPr>
                <w:sz w:val="24"/>
              </w:rPr>
              <w:t>Meningkatnya</w:t>
            </w:r>
            <w:r>
              <w:rPr>
                <w:spacing w:val="6"/>
                <w:sz w:val="24"/>
              </w:rPr>
              <w:t> </w:t>
            </w:r>
            <w:r>
              <w:rPr>
                <w:sz w:val="24"/>
              </w:rPr>
              <w:t>pajak</w:t>
            </w:r>
            <w:r>
              <w:rPr>
                <w:spacing w:val="10"/>
                <w:sz w:val="24"/>
              </w:rPr>
              <w:t> </w:t>
            </w:r>
            <w:r>
              <w:rPr>
                <w:sz w:val="24"/>
              </w:rPr>
              <w:t>dan</w:t>
            </w:r>
            <w:r>
              <w:rPr>
                <w:spacing w:val="8"/>
                <w:sz w:val="24"/>
              </w:rPr>
              <w:t> </w:t>
            </w:r>
            <w:r>
              <w:rPr>
                <w:sz w:val="24"/>
              </w:rPr>
              <w:t>retribusi</w:t>
            </w:r>
            <w:r>
              <w:rPr>
                <w:spacing w:val="9"/>
                <w:sz w:val="24"/>
              </w:rPr>
              <w:t> </w:t>
            </w:r>
            <w:r>
              <w:rPr>
                <w:spacing w:val="-2"/>
                <w:sz w:val="24"/>
              </w:rPr>
              <w:t>daerah</w:t>
            </w:r>
          </w:p>
          <w:p>
            <w:pPr>
              <w:pStyle w:val="TableParagraph"/>
              <w:spacing w:line="316" w:lineRule="exact"/>
              <w:ind w:left="470"/>
              <w:rPr>
                <w:sz w:val="24"/>
              </w:rPr>
            </w:pPr>
            <w:r>
              <w:rPr>
                <w:sz w:val="24"/>
              </w:rPr>
              <w:t>yang</w:t>
            </w:r>
            <w:r>
              <w:rPr>
                <w:spacing w:val="80"/>
                <w:sz w:val="24"/>
              </w:rPr>
              <w:t> </w:t>
            </w:r>
            <w:r>
              <w:rPr>
                <w:sz w:val="24"/>
              </w:rPr>
              <w:t>didorong</w:t>
            </w:r>
            <w:r>
              <w:rPr>
                <w:spacing w:val="80"/>
                <w:sz w:val="24"/>
              </w:rPr>
              <w:t> </w:t>
            </w:r>
            <w:r>
              <w:rPr>
                <w:sz w:val="24"/>
              </w:rPr>
              <w:t>oleh</w:t>
            </w:r>
            <w:r>
              <w:rPr>
                <w:spacing w:val="80"/>
                <w:sz w:val="24"/>
              </w:rPr>
              <w:t> </w:t>
            </w:r>
            <w:r>
              <w:rPr>
                <w:sz w:val="24"/>
              </w:rPr>
              <w:t>masuknya</w:t>
            </w:r>
            <w:r>
              <w:rPr>
                <w:spacing w:val="80"/>
                <w:sz w:val="24"/>
              </w:rPr>
              <w:t> </w:t>
            </w:r>
            <w:r>
              <w:rPr>
                <w:sz w:val="24"/>
              </w:rPr>
              <w:t>aliran investasi (PMA dan PMDN)</w:t>
            </w:r>
          </w:p>
        </w:tc>
      </w:tr>
    </w:tbl>
    <w:p>
      <w:pPr>
        <w:pStyle w:val="BodyText"/>
        <w:spacing w:before="142"/>
        <w:jc w:val="left"/>
        <w:rPr>
          <w:rFonts w:ascii="Lucida Sans Unicode"/>
          <w:sz w:val="22"/>
        </w:rPr>
      </w:pPr>
    </w:p>
    <w:p>
      <w:pPr>
        <w:pStyle w:val="BodyText"/>
        <w:spacing w:line="360" w:lineRule="auto" w:before="1"/>
        <w:ind w:left="993" w:right="709" w:firstLine="720"/>
      </w:pPr>
      <w:r>
        <w:rPr/>
        <w:t>Berdasarkan identifikasi CBA tersebut, maka potensi dampak ekonomi hilangnya Kecamatan Samboja, Kecamatan Samboja Barat, sebagian Kecamatan Muara Jawa, sebagian Kecamatan Loa Janan,</w:t>
      </w:r>
    </w:p>
    <w:p>
      <w:pPr>
        <w:pStyle w:val="BodyText"/>
        <w:spacing w:after="0" w:line="360" w:lineRule="auto"/>
        <w:sectPr>
          <w:pgSz w:w="11910" w:h="16840"/>
          <w:pgMar w:header="0" w:footer="1186" w:top="1580" w:bottom="1380" w:left="1700" w:right="992"/>
        </w:sectPr>
      </w:pPr>
    </w:p>
    <w:p>
      <w:pPr>
        <w:pStyle w:val="BodyText"/>
        <w:spacing w:line="360" w:lineRule="auto" w:before="82"/>
        <w:ind w:left="993" w:right="700"/>
      </w:pPr>
      <w:r>
        <w:rPr/>
        <w:t>sebagian Kecamatan Loa Kulu, dan sebagian Kecamatan Sanga-Sanga terhadap pendapatan daerah Kabupaten Kutai Kartanegara dapat diformulasikan sebagai berikut:</w:t>
      </w:r>
    </w:p>
    <w:p>
      <w:pPr>
        <w:pStyle w:val="ListParagraph"/>
        <w:numPr>
          <w:ilvl w:val="2"/>
          <w:numId w:val="25"/>
        </w:numPr>
        <w:tabs>
          <w:tab w:pos="1284" w:val="left" w:leader="none"/>
        </w:tabs>
        <w:spacing w:line="319" w:lineRule="exact" w:before="0" w:after="0"/>
        <w:ind w:left="1284" w:right="0" w:hanging="358"/>
        <w:jc w:val="both"/>
        <w:rPr>
          <w:sz w:val="24"/>
        </w:rPr>
      </w:pPr>
      <w:r>
        <w:rPr>
          <w:sz w:val="24"/>
        </w:rPr>
        <w:t>Potensi</w:t>
      </w:r>
      <w:r>
        <w:rPr>
          <w:spacing w:val="-11"/>
          <w:sz w:val="24"/>
        </w:rPr>
        <w:t> </w:t>
      </w:r>
      <w:r>
        <w:rPr>
          <w:sz w:val="24"/>
        </w:rPr>
        <w:t>dampak</w:t>
      </w:r>
      <w:r>
        <w:rPr>
          <w:spacing w:val="-3"/>
          <w:sz w:val="24"/>
        </w:rPr>
        <w:t> </w:t>
      </w:r>
      <w:r>
        <w:rPr>
          <w:sz w:val="24"/>
        </w:rPr>
        <w:t>langsung</w:t>
      </w:r>
      <w:r>
        <w:rPr>
          <w:spacing w:val="-6"/>
          <w:sz w:val="24"/>
        </w:rPr>
        <w:t> </w:t>
      </w:r>
      <w:r>
        <w:rPr>
          <w:sz w:val="24"/>
        </w:rPr>
        <w:t>terhadap</w:t>
      </w:r>
      <w:r>
        <w:rPr>
          <w:spacing w:val="-6"/>
          <w:sz w:val="24"/>
        </w:rPr>
        <w:t> </w:t>
      </w:r>
      <w:r>
        <w:rPr>
          <w:sz w:val="24"/>
        </w:rPr>
        <w:t>pendapatan</w:t>
      </w:r>
      <w:r>
        <w:rPr>
          <w:spacing w:val="-4"/>
          <w:sz w:val="24"/>
        </w:rPr>
        <w:t> </w:t>
      </w:r>
      <w:r>
        <w:rPr>
          <w:spacing w:val="-2"/>
          <w:sz w:val="24"/>
        </w:rPr>
        <w:t>daerah</w:t>
      </w:r>
    </w:p>
    <w:p>
      <w:pPr>
        <w:pStyle w:val="ListParagraph"/>
        <w:spacing w:after="0" w:line="319" w:lineRule="exact"/>
        <w:jc w:val="both"/>
        <w:rPr>
          <w:sz w:val="24"/>
        </w:rPr>
        <w:sectPr>
          <w:pgSz w:w="11910" w:h="16840"/>
          <w:pgMar w:header="0" w:footer="1186" w:top="1580" w:bottom="1380" w:left="1700" w:right="992"/>
        </w:sectPr>
      </w:pPr>
    </w:p>
    <w:p>
      <w:pPr>
        <w:pStyle w:val="BodyText"/>
        <w:jc w:val="left"/>
      </w:pPr>
    </w:p>
    <w:p>
      <w:pPr>
        <w:pStyle w:val="BodyText"/>
        <w:jc w:val="left"/>
      </w:pPr>
    </w:p>
    <w:p>
      <w:pPr>
        <w:pStyle w:val="BodyText"/>
        <w:spacing w:before="5"/>
        <w:jc w:val="left"/>
      </w:pPr>
    </w:p>
    <w:p>
      <w:pPr>
        <w:pStyle w:val="BodyText"/>
        <w:ind w:left="1421"/>
        <w:jc w:val="left"/>
      </w:pPr>
      <w:r>
        <w:rPr>
          <w:spacing w:val="-2"/>
        </w:rPr>
        <w:t>dimana,</w:t>
      </w:r>
    </w:p>
    <w:p>
      <w:pPr>
        <w:tabs>
          <w:tab w:pos="3144" w:val="left" w:leader="none"/>
        </w:tabs>
        <w:spacing w:before="143"/>
        <w:ind w:left="1934" w:right="0" w:firstLine="0"/>
        <w:jc w:val="left"/>
        <w:rPr>
          <w:rFonts w:ascii="Cambria Math" w:eastAsia="Cambria Math"/>
          <w:sz w:val="17"/>
        </w:rPr>
      </w:pPr>
      <w:r>
        <w:rPr/>
        <w:br w:type="column"/>
      </w:r>
      <w:r>
        <w:rPr>
          <w:rFonts w:ascii="Cambria Math" w:eastAsia="Cambria Math"/>
          <w:spacing w:val="-10"/>
          <w:w w:val="110"/>
          <w:sz w:val="17"/>
        </w:rPr>
        <w:t>𝑛</w:t>
      </w:r>
      <w:r>
        <w:rPr>
          <w:rFonts w:ascii="Cambria Math" w:eastAsia="Cambria Math"/>
          <w:sz w:val="17"/>
        </w:rPr>
        <w:tab/>
      </w:r>
      <w:r>
        <w:rPr>
          <w:rFonts w:ascii="Cambria Math" w:eastAsia="Cambria Math"/>
          <w:spacing w:val="-10"/>
          <w:w w:val="110"/>
          <w:sz w:val="17"/>
        </w:rPr>
        <w:t>𝑛</w:t>
      </w:r>
    </w:p>
    <w:p>
      <w:pPr>
        <w:spacing w:before="99"/>
        <w:ind w:left="763" w:right="0" w:firstLine="0"/>
        <w:jc w:val="left"/>
        <w:rPr>
          <w:rFonts w:ascii="Cambria Math" w:hAnsi="Cambria Math" w:eastAsia="Cambria Math"/>
          <w:sz w:val="24"/>
        </w:rPr>
      </w:pPr>
      <w:r>
        <w:rPr>
          <w:rFonts w:ascii="Cambria Math" w:hAnsi="Cambria Math" w:eastAsia="Cambria Math"/>
          <w:w w:val="115"/>
          <w:sz w:val="24"/>
        </w:rPr>
        <w:t>∆𝑃𝐷𝐿</w:t>
      </w:r>
      <w:r>
        <w:rPr>
          <w:rFonts w:ascii="Cambria Math" w:hAnsi="Cambria Math" w:eastAsia="Cambria Math"/>
          <w:w w:val="115"/>
          <w:sz w:val="24"/>
          <w:vertAlign w:val="subscript"/>
        </w:rPr>
        <w:t>𝑁</w:t>
      </w:r>
      <w:r>
        <w:rPr>
          <w:rFonts w:ascii="Cambria Math" w:hAnsi="Cambria Math" w:eastAsia="Cambria Math"/>
          <w:spacing w:val="-18"/>
          <w:w w:val="115"/>
          <w:sz w:val="24"/>
          <w:vertAlign w:val="baseline"/>
        </w:rPr>
        <w:t> </w:t>
      </w:r>
      <w:r>
        <w:rPr>
          <w:rFonts w:ascii="Cambria Math" w:hAnsi="Cambria Math" w:eastAsia="Cambria Math"/>
          <w:w w:val="115"/>
          <w:sz w:val="24"/>
          <w:vertAlign w:val="baseline"/>
        </w:rPr>
        <w:t>=</w:t>
      </w:r>
      <w:r>
        <w:rPr>
          <w:rFonts w:ascii="Cambria Math" w:hAnsi="Cambria Math" w:eastAsia="Cambria Math"/>
          <w:spacing w:val="57"/>
          <w:w w:val="115"/>
          <w:sz w:val="24"/>
          <w:vertAlign w:val="baseline"/>
        </w:rPr>
        <w:t> </w:t>
      </w:r>
      <w:r>
        <w:rPr>
          <w:rFonts w:ascii="Cambria Math" w:hAnsi="Cambria Math" w:eastAsia="Cambria Math"/>
          <w:w w:val="115"/>
          <w:sz w:val="24"/>
          <w:vertAlign w:val="baseline"/>
        </w:rPr>
        <w:t>∑𝑃𝐵𝐿</w:t>
      </w:r>
      <w:r>
        <w:rPr>
          <w:rFonts w:ascii="Cambria Math" w:hAnsi="Cambria Math" w:eastAsia="Cambria Math"/>
          <w:w w:val="115"/>
          <w:sz w:val="24"/>
          <w:vertAlign w:val="subscript"/>
        </w:rPr>
        <w:t>𝑖</w:t>
      </w:r>
      <w:r>
        <w:rPr>
          <w:rFonts w:ascii="Cambria Math" w:hAnsi="Cambria Math" w:eastAsia="Cambria Math"/>
          <w:spacing w:val="10"/>
          <w:w w:val="115"/>
          <w:sz w:val="24"/>
          <w:vertAlign w:val="baseline"/>
        </w:rPr>
        <w:t> </w:t>
      </w:r>
      <w:r>
        <w:rPr>
          <w:rFonts w:ascii="Cambria Math" w:hAnsi="Cambria Math" w:eastAsia="Cambria Math"/>
          <w:w w:val="115"/>
          <w:sz w:val="24"/>
          <w:vertAlign w:val="baseline"/>
        </w:rPr>
        <w:t>−</w:t>
      </w:r>
      <w:r>
        <w:rPr>
          <w:rFonts w:ascii="Cambria Math" w:hAnsi="Cambria Math" w:eastAsia="Cambria Math"/>
          <w:spacing w:val="45"/>
          <w:w w:val="115"/>
          <w:sz w:val="24"/>
          <w:vertAlign w:val="baseline"/>
        </w:rPr>
        <w:t> </w:t>
      </w:r>
      <w:r>
        <w:rPr>
          <w:rFonts w:ascii="Cambria Math" w:hAnsi="Cambria Math" w:eastAsia="Cambria Math"/>
          <w:w w:val="115"/>
          <w:sz w:val="24"/>
          <w:vertAlign w:val="baseline"/>
        </w:rPr>
        <w:t>∑</w:t>
      </w:r>
      <w:r>
        <w:rPr>
          <w:rFonts w:ascii="Cambria Math" w:hAnsi="Cambria Math" w:eastAsia="Cambria Math"/>
          <w:spacing w:val="-22"/>
          <w:w w:val="115"/>
          <w:sz w:val="24"/>
          <w:vertAlign w:val="baseline"/>
        </w:rPr>
        <w:t> </w:t>
      </w:r>
      <w:r>
        <w:rPr>
          <w:rFonts w:ascii="Cambria Math" w:hAnsi="Cambria Math" w:eastAsia="Cambria Math"/>
          <w:spacing w:val="-4"/>
          <w:w w:val="115"/>
          <w:sz w:val="24"/>
          <w:vertAlign w:val="baseline"/>
        </w:rPr>
        <w:t>𝑃𝐶𝐿</w:t>
      </w:r>
      <w:r>
        <w:rPr>
          <w:rFonts w:ascii="Cambria Math" w:hAnsi="Cambria Math" w:eastAsia="Cambria Math"/>
          <w:spacing w:val="-4"/>
          <w:w w:val="115"/>
          <w:sz w:val="24"/>
          <w:vertAlign w:val="subscript"/>
        </w:rPr>
        <w:t>𝑖</w:t>
      </w:r>
    </w:p>
    <w:p>
      <w:pPr>
        <w:tabs>
          <w:tab w:pos="3053" w:val="left" w:leader="none"/>
        </w:tabs>
        <w:spacing w:before="78"/>
        <w:ind w:left="1848" w:right="0" w:firstLine="0"/>
        <w:jc w:val="left"/>
        <w:rPr>
          <w:rFonts w:ascii="Cambria Math" w:eastAsia="Cambria Math"/>
          <w:sz w:val="17"/>
        </w:rPr>
      </w:pPr>
      <w:r>
        <w:rPr>
          <w:rFonts w:ascii="Cambria Math" w:eastAsia="Cambria Math"/>
          <w:spacing w:val="-5"/>
          <w:w w:val="105"/>
          <w:sz w:val="17"/>
        </w:rPr>
        <w:t>𝑖=1</w:t>
      </w:r>
      <w:r>
        <w:rPr>
          <w:rFonts w:ascii="Cambria Math" w:eastAsia="Cambria Math"/>
          <w:sz w:val="17"/>
        </w:rPr>
        <w:tab/>
      </w:r>
      <w:r>
        <w:rPr>
          <w:rFonts w:ascii="Cambria Math" w:eastAsia="Cambria Math"/>
          <w:spacing w:val="-5"/>
          <w:w w:val="105"/>
          <w:sz w:val="17"/>
        </w:rPr>
        <w:t>𝑖=1</w:t>
      </w:r>
    </w:p>
    <w:p>
      <w:pPr>
        <w:spacing w:after="0"/>
        <w:jc w:val="left"/>
        <w:rPr>
          <w:rFonts w:ascii="Cambria Math" w:eastAsia="Cambria Math"/>
          <w:sz w:val="17"/>
        </w:rPr>
        <w:sectPr>
          <w:type w:val="continuous"/>
          <w:pgSz w:w="11910" w:h="16840"/>
          <w:pgMar w:header="0" w:footer="1186" w:top="1760" w:bottom="1640" w:left="1700" w:right="992"/>
          <w:cols w:num="2" w:equalWidth="0">
            <w:col w:w="2256" w:space="40"/>
            <w:col w:w="6922"/>
          </w:cols>
        </w:sectPr>
      </w:pPr>
    </w:p>
    <w:p>
      <w:pPr>
        <w:pStyle w:val="BodyText"/>
        <w:spacing w:before="19"/>
        <w:jc w:val="left"/>
        <w:rPr>
          <w:rFonts w:ascii="Cambria Math"/>
        </w:rPr>
      </w:pPr>
    </w:p>
    <w:p>
      <w:pPr>
        <w:pStyle w:val="BodyText"/>
        <w:spacing w:line="230" w:lineRule="auto"/>
        <w:ind w:left="2410" w:right="720" w:hanging="989"/>
        <w:jc w:val="left"/>
      </w:pPr>
      <w:r>
        <w:rPr>
          <w:rFonts w:ascii="Cambria Math" w:hAnsi="Cambria Math" w:eastAsia="Cambria Math"/>
        </w:rPr>
        <w:t>∆𝑃𝐷𝐿</w:t>
      </w:r>
      <w:r>
        <w:rPr>
          <w:rFonts w:ascii="Cambria Math" w:hAnsi="Cambria Math" w:eastAsia="Cambria Math"/>
          <w:vertAlign w:val="subscript"/>
        </w:rPr>
        <w:t>𝑁</w:t>
      </w:r>
      <w:r>
        <w:rPr>
          <w:rFonts w:ascii="Cambria Math" w:hAnsi="Cambria Math" w:eastAsia="Cambria Math"/>
          <w:spacing w:val="-14"/>
          <w:vertAlign w:val="baseline"/>
        </w:rPr>
        <w:t> </w:t>
      </w:r>
      <w:r>
        <w:rPr>
          <w:vertAlign w:val="baseline"/>
        </w:rPr>
        <w:t>=</w:t>
      </w:r>
      <w:r>
        <w:rPr>
          <w:spacing w:val="-8"/>
          <w:vertAlign w:val="baseline"/>
        </w:rPr>
        <w:t> </w:t>
      </w:r>
      <w:r>
        <w:rPr>
          <w:vertAlign w:val="baseline"/>
        </w:rPr>
        <w:t>Perubahan</w:t>
      </w:r>
      <w:r>
        <w:rPr>
          <w:spacing w:val="-2"/>
          <w:vertAlign w:val="baseline"/>
        </w:rPr>
        <w:t> </w:t>
      </w:r>
      <w:r>
        <w:rPr>
          <w:vertAlign w:val="baseline"/>
        </w:rPr>
        <w:t>pendapatan</w:t>
      </w:r>
      <w:r>
        <w:rPr>
          <w:spacing w:val="-7"/>
          <w:vertAlign w:val="baseline"/>
        </w:rPr>
        <w:t> </w:t>
      </w:r>
      <w:r>
        <w:rPr>
          <w:vertAlign w:val="baseline"/>
        </w:rPr>
        <w:t>daerah</w:t>
      </w:r>
      <w:r>
        <w:rPr>
          <w:spacing w:val="-7"/>
          <w:vertAlign w:val="baseline"/>
        </w:rPr>
        <w:t> </w:t>
      </w:r>
      <w:r>
        <w:rPr>
          <w:vertAlign w:val="baseline"/>
        </w:rPr>
        <w:t>secara</w:t>
      </w:r>
      <w:r>
        <w:rPr>
          <w:spacing w:val="-7"/>
          <w:vertAlign w:val="baseline"/>
        </w:rPr>
        <w:t> </w:t>
      </w:r>
      <w:r>
        <w:rPr>
          <w:vertAlign w:val="baseline"/>
        </w:rPr>
        <w:t>langsung</w:t>
      </w:r>
      <w:r>
        <w:rPr>
          <w:spacing w:val="-7"/>
          <w:vertAlign w:val="baseline"/>
        </w:rPr>
        <w:t> </w:t>
      </w:r>
      <w:r>
        <w:rPr>
          <w:vertAlign w:val="baseline"/>
        </w:rPr>
        <w:t>ketika enam kecamatan bergabung dengan IKN</w:t>
      </w:r>
    </w:p>
    <w:p>
      <w:pPr>
        <w:pStyle w:val="BodyText"/>
        <w:spacing w:before="11"/>
        <w:ind w:left="1421"/>
        <w:jc w:val="left"/>
      </w:pPr>
      <w:r>
        <w:rPr>
          <w:rFonts w:ascii="Cambria Math" w:eastAsia="Cambria Math"/>
        </w:rPr>
        <w:t>𝑃𝐵𝐿</w:t>
      </w:r>
      <w:r>
        <w:rPr>
          <w:rFonts w:ascii="Cambria Math" w:eastAsia="Cambria Math"/>
          <w:vertAlign w:val="subscript"/>
        </w:rPr>
        <w:t>𝑖</w:t>
      </w:r>
      <w:r>
        <w:rPr>
          <w:rFonts w:ascii="Cambria Math" w:eastAsia="Cambria Math"/>
          <w:spacing w:val="-13"/>
          <w:vertAlign w:val="baseline"/>
        </w:rPr>
        <w:t> </w:t>
      </w:r>
      <w:r>
        <w:rPr>
          <w:vertAlign w:val="baseline"/>
        </w:rPr>
        <w:t>=</w:t>
      </w:r>
      <w:r>
        <w:rPr>
          <w:spacing w:val="-7"/>
          <w:vertAlign w:val="baseline"/>
        </w:rPr>
        <w:t> </w:t>
      </w:r>
      <w:r>
        <w:rPr>
          <w:vertAlign w:val="baseline"/>
        </w:rPr>
        <w:t>Potensi</w:t>
      </w:r>
      <w:r>
        <w:rPr>
          <w:spacing w:val="-6"/>
          <w:vertAlign w:val="baseline"/>
        </w:rPr>
        <w:t> </w:t>
      </w:r>
      <w:r>
        <w:rPr>
          <w:vertAlign w:val="baseline"/>
        </w:rPr>
        <w:t>manfaat</w:t>
      </w:r>
      <w:r>
        <w:rPr>
          <w:spacing w:val="-1"/>
          <w:vertAlign w:val="baseline"/>
        </w:rPr>
        <w:t> </w:t>
      </w:r>
      <w:r>
        <w:rPr>
          <w:spacing w:val="-2"/>
          <w:vertAlign w:val="baseline"/>
        </w:rPr>
        <w:t>langsung</w:t>
      </w:r>
    </w:p>
    <w:p>
      <w:pPr>
        <w:pStyle w:val="BodyText"/>
        <w:spacing w:before="17"/>
        <w:ind w:left="1421"/>
        <w:jc w:val="left"/>
      </w:pPr>
      <w:r>
        <w:rPr>
          <w:rFonts w:ascii="Cambria Math" w:eastAsia="Cambria Math"/>
        </w:rPr>
        <w:t>𝑃𝐶𝐿</w:t>
      </w:r>
      <w:r>
        <w:rPr>
          <w:rFonts w:ascii="Cambria Math" w:eastAsia="Cambria Math"/>
          <w:vertAlign w:val="subscript"/>
        </w:rPr>
        <w:t>𝑖</w:t>
      </w:r>
      <w:r>
        <w:rPr>
          <w:rFonts w:ascii="Cambria Math" w:eastAsia="Cambria Math"/>
          <w:spacing w:val="-8"/>
          <w:vertAlign w:val="baseline"/>
        </w:rPr>
        <w:t> </w:t>
      </w:r>
      <w:r>
        <w:rPr>
          <w:vertAlign w:val="baseline"/>
        </w:rPr>
        <w:t>=</w:t>
      </w:r>
      <w:r>
        <w:rPr>
          <w:spacing w:val="-2"/>
          <w:vertAlign w:val="baseline"/>
        </w:rPr>
        <w:t> </w:t>
      </w:r>
      <w:r>
        <w:rPr>
          <w:vertAlign w:val="baseline"/>
        </w:rPr>
        <w:t>Potensi</w:t>
      </w:r>
      <w:r>
        <w:rPr>
          <w:spacing w:val="-7"/>
          <w:vertAlign w:val="baseline"/>
        </w:rPr>
        <w:t> </w:t>
      </w:r>
      <w:r>
        <w:rPr>
          <w:vertAlign w:val="baseline"/>
        </w:rPr>
        <w:t>biaya</w:t>
      </w:r>
      <w:r>
        <w:rPr>
          <w:spacing w:val="-3"/>
          <w:vertAlign w:val="baseline"/>
        </w:rPr>
        <w:t> </w:t>
      </w:r>
      <w:r>
        <w:rPr>
          <w:spacing w:val="-2"/>
          <w:vertAlign w:val="baseline"/>
        </w:rPr>
        <w:t>langsung</w:t>
      </w:r>
    </w:p>
    <w:p>
      <w:pPr>
        <w:pStyle w:val="ListParagraph"/>
        <w:numPr>
          <w:ilvl w:val="2"/>
          <w:numId w:val="25"/>
        </w:numPr>
        <w:tabs>
          <w:tab w:pos="1284" w:val="left" w:leader="none"/>
        </w:tabs>
        <w:spacing w:line="240" w:lineRule="auto" w:before="295" w:after="0"/>
        <w:ind w:left="1284" w:right="0" w:hanging="358"/>
        <w:jc w:val="left"/>
        <w:rPr>
          <w:sz w:val="24"/>
        </w:rPr>
      </w:pPr>
      <w:r>
        <w:rPr>
          <w:sz w:val="24"/>
        </w:rPr>
        <w:t>Potensi</w:t>
      </w:r>
      <w:r>
        <w:rPr>
          <w:spacing w:val="-10"/>
          <w:sz w:val="24"/>
        </w:rPr>
        <w:t> </w:t>
      </w:r>
      <w:r>
        <w:rPr>
          <w:sz w:val="24"/>
        </w:rPr>
        <w:t>dampak</w:t>
      </w:r>
      <w:r>
        <w:rPr>
          <w:spacing w:val="-1"/>
          <w:sz w:val="24"/>
        </w:rPr>
        <w:t> </w:t>
      </w:r>
      <w:r>
        <w:rPr>
          <w:sz w:val="24"/>
        </w:rPr>
        <w:t>tidak</w:t>
      </w:r>
      <w:r>
        <w:rPr>
          <w:spacing w:val="-7"/>
          <w:sz w:val="24"/>
        </w:rPr>
        <w:t> </w:t>
      </w:r>
      <w:r>
        <w:rPr>
          <w:sz w:val="24"/>
        </w:rPr>
        <w:t>langsung</w:t>
      </w:r>
      <w:r>
        <w:rPr>
          <w:spacing w:val="-8"/>
          <w:sz w:val="24"/>
        </w:rPr>
        <w:t> </w:t>
      </w:r>
      <w:r>
        <w:rPr>
          <w:sz w:val="24"/>
        </w:rPr>
        <w:t>terhadap</w:t>
      </w:r>
      <w:r>
        <w:rPr>
          <w:spacing w:val="-9"/>
          <w:sz w:val="24"/>
        </w:rPr>
        <w:t> </w:t>
      </w:r>
      <w:r>
        <w:rPr>
          <w:sz w:val="24"/>
        </w:rPr>
        <w:t>pendapatan</w:t>
      </w:r>
      <w:r>
        <w:rPr>
          <w:spacing w:val="-2"/>
          <w:sz w:val="24"/>
        </w:rPr>
        <w:t> daerah</w:t>
      </w:r>
    </w:p>
    <w:p>
      <w:pPr>
        <w:pStyle w:val="ListParagraph"/>
        <w:spacing w:after="0" w:line="240" w:lineRule="auto"/>
        <w:jc w:val="left"/>
        <w:rPr>
          <w:sz w:val="24"/>
        </w:rPr>
        <w:sectPr>
          <w:type w:val="continuous"/>
          <w:pgSz w:w="11910" w:h="16840"/>
          <w:pgMar w:header="0" w:footer="1186" w:top="1760" w:bottom="1640" w:left="1700" w:right="992"/>
        </w:sectPr>
      </w:pPr>
    </w:p>
    <w:p>
      <w:pPr>
        <w:pStyle w:val="BodyText"/>
        <w:jc w:val="left"/>
      </w:pPr>
    </w:p>
    <w:p>
      <w:pPr>
        <w:pStyle w:val="BodyText"/>
        <w:jc w:val="left"/>
      </w:pPr>
    </w:p>
    <w:p>
      <w:pPr>
        <w:pStyle w:val="BodyText"/>
        <w:spacing w:before="5"/>
        <w:jc w:val="left"/>
      </w:pPr>
    </w:p>
    <w:p>
      <w:pPr>
        <w:pStyle w:val="BodyText"/>
        <w:ind w:left="1421"/>
        <w:jc w:val="left"/>
      </w:pPr>
      <w:r>
        <w:rPr>
          <w:spacing w:val="-2"/>
        </w:rPr>
        <w:t>dimana,</w:t>
      </w:r>
    </w:p>
    <w:p>
      <w:pPr>
        <w:tabs>
          <w:tab w:pos="3216" w:val="left" w:leader="none"/>
        </w:tabs>
        <w:spacing w:before="148"/>
        <w:ind w:left="1862" w:right="0" w:firstLine="0"/>
        <w:jc w:val="left"/>
        <w:rPr>
          <w:rFonts w:ascii="Cambria Math" w:eastAsia="Cambria Math"/>
          <w:sz w:val="17"/>
        </w:rPr>
      </w:pPr>
      <w:r>
        <w:rPr/>
        <w:br w:type="column"/>
      </w:r>
      <w:r>
        <w:rPr>
          <w:rFonts w:ascii="Cambria Math" w:eastAsia="Cambria Math"/>
          <w:spacing w:val="-10"/>
          <w:w w:val="110"/>
          <w:sz w:val="17"/>
        </w:rPr>
        <w:t>𝑛</w:t>
      </w:r>
      <w:r>
        <w:rPr>
          <w:rFonts w:ascii="Cambria Math" w:eastAsia="Cambria Math"/>
          <w:sz w:val="17"/>
        </w:rPr>
        <w:tab/>
      </w:r>
      <w:r>
        <w:rPr>
          <w:rFonts w:ascii="Cambria Math" w:eastAsia="Cambria Math"/>
          <w:spacing w:val="-10"/>
          <w:w w:val="110"/>
          <w:sz w:val="17"/>
        </w:rPr>
        <w:t>𝑛</w:t>
      </w:r>
    </w:p>
    <w:p>
      <w:pPr>
        <w:spacing w:before="94"/>
        <w:ind w:left="552" w:right="0" w:firstLine="0"/>
        <w:jc w:val="left"/>
        <w:rPr>
          <w:rFonts w:ascii="Cambria Math" w:hAnsi="Cambria Math" w:eastAsia="Cambria Math"/>
          <w:sz w:val="24"/>
        </w:rPr>
      </w:pPr>
      <w:r>
        <w:rPr>
          <w:rFonts w:ascii="Cambria Math" w:hAnsi="Cambria Math" w:eastAsia="Cambria Math"/>
          <w:w w:val="110"/>
          <w:sz w:val="24"/>
        </w:rPr>
        <w:t>∆𝑃𝐷𝑇𝐿</w:t>
      </w:r>
      <w:r>
        <w:rPr>
          <w:rFonts w:ascii="Cambria Math" w:hAnsi="Cambria Math" w:eastAsia="Cambria Math"/>
          <w:w w:val="110"/>
          <w:sz w:val="24"/>
          <w:vertAlign w:val="subscript"/>
        </w:rPr>
        <w:t>𝑁</w:t>
      </w:r>
      <w:r>
        <w:rPr>
          <w:rFonts w:ascii="Cambria Math" w:hAnsi="Cambria Math" w:eastAsia="Cambria Math"/>
          <w:spacing w:val="-14"/>
          <w:w w:val="110"/>
          <w:sz w:val="24"/>
          <w:vertAlign w:val="baseline"/>
        </w:rPr>
        <w:t> </w:t>
      </w:r>
      <w:r>
        <w:rPr>
          <w:rFonts w:ascii="Cambria Math" w:hAnsi="Cambria Math" w:eastAsia="Cambria Math"/>
          <w:w w:val="110"/>
          <w:sz w:val="24"/>
          <w:vertAlign w:val="baseline"/>
        </w:rPr>
        <w:t>=</w:t>
      </w:r>
      <w:r>
        <w:rPr>
          <w:rFonts w:ascii="Cambria Math" w:hAnsi="Cambria Math" w:eastAsia="Cambria Math"/>
          <w:spacing w:val="61"/>
          <w:w w:val="110"/>
          <w:sz w:val="24"/>
          <w:vertAlign w:val="baseline"/>
        </w:rPr>
        <w:t> </w:t>
      </w:r>
      <w:r>
        <w:rPr>
          <w:rFonts w:ascii="Cambria Math" w:hAnsi="Cambria Math" w:eastAsia="Cambria Math"/>
          <w:w w:val="110"/>
          <w:sz w:val="24"/>
          <w:vertAlign w:val="baseline"/>
        </w:rPr>
        <w:t>∑</w:t>
      </w:r>
      <w:r>
        <w:rPr>
          <w:rFonts w:ascii="Cambria Math" w:hAnsi="Cambria Math" w:eastAsia="Cambria Math"/>
          <w:spacing w:val="-20"/>
          <w:w w:val="110"/>
          <w:sz w:val="24"/>
          <w:vertAlign w:val="baseline"/>
        </w:rPr>
        <w:t> </w:t>
      </w:r>
      <w:r>
        <w:rPr>
          <w:rFonts w:ascii="Cambria Math" w:hAnsi="Cambria Math" w:eastAsia="Cambria Math"/>
          <w:w w:val="110"/>
          <w:sz w:val="24"/>
          <w:vertAlign w:val="baseline"/>
        </w:rPr>
        <w:t>𝑃𝐵𝑇𝐿</w:t>
      </w:r>
      <w:r>
        <w:rPr>
          <w:rFonts w:ascii="Cambria Math" w:hAnsi="Cambria Math" w:eastAsia="Cambria Math"/>
          <w:w w:val="110"/>
          <w:sz w:val="24"/>
          <w:vertAlign w:val="subscript"/>
        </w:rPr>
        <w:t>𝑖</w:t>
      </w:r>
      <w:r>
        <w:rPr>
          <w:rFonts w:ascii="Cambria Math" w:hAnsi="Cambria Math" w:eastAsia="Cambria Math"/>
          <w:spacing w:val="16"/>
          <w:w w:val="110"/>
          <w:sz w:val="24"/>
          <w:vertAlign w:val="baseline"/>
        </w:rPr>
        <w:t> </w:t>
      </w:r>
      <w:r>
        <w:rPr>
          <w:rFonts w:ascii="Cambria Math" w:hAnsi="Cambria Math" w:eastAsia="Cambria Math"/>
          <w:w w:val="110"/>
          <w:sz w:val="24"/>
          <w:vertAlign w:val="baseline"/>
        </w:rPr>
        <w:t>−</w:t>
      </w:r>
      <w:r>
        <w:rPr>
          <w:rFonts w:ascii="Cambria Math" w:hAnsi="Cambria Math" w:eastAsia="Cambria Math"/>
          <w:spacing w:val="51"/>
          <w:w w:val="110"/>
          <w:sz w:val="24"/>
          <w:vertAlign w:val="baseline"/>
        </w:rPr>
        <w:t> </w:t>
      </w:r>
      <w:r>
        <w:rPr>
          <w:rFonts w:ascii="Cambria Math" w:hAnsi="Cambria Math" w:eastAsia="Cambria Math"/>
          <w:w w:val="110"/>
          <w:sz w:val="24"/>
          <w:vertAlign w:val="baseline"/>
        </w:rPr>
        <w:t>∑</w:t>
      </w:r>
      <w:r>
        <w:rPr>
          <w:rFonts w:ascii="Cambria Math" w:hAnsi="Cambria Math" w:eastAsia="Cambria Math"/>
          <w:spacing w:val="-19"/>
          <w:w w:val="110"/>
          <w:sz w:val="24"/>
          <w:vertAlign w:val="baseline"/>
        </w:rPr>
        <w:t> </w:t>
      </w:r>
      <w:r>
        <w:rPr>
          <w:rFonts w:ascii="Cambria Math" w:hAnsi="Cambria Math" w:eastAsia="Cambria Math"/>
          <w:spacing w:val="-2"/>
          <w:w w:val="110"/>
          <w:sz w:val="24"/>
          <w:vertAlign w:val="baseline"/>
        </w:rPr>
        <w:t>𝑃𝐶𝑇𝐿</w:t>
      </w:r>
      <w:r>
        <w:rPr>
          <w:rFonts w:ascii="Cambria Math" w:hAnsi="Cambria Math" w:eastAsia="Cambria Math"/>
          <w:spacing w:val="-2"/>
          <w:w w:val="110"/>
          <w:sz w:val="24"/>
          <w:vertAlign w:val="subscript"/>
        </w:rPr>
        <w:t>𝑖</w:t>
      </w:r>
    </w:p>
    <w:p>
      <w:pPr>
        <w:tabs>
          <w:tab w:pos="3125" w:val="left" w:leader="none"/>
        </w:tabs>
        <w:spacing w:before="79"/>
        <w:ind w:left="1776" w:right="0" w:firstLine="0"/>
        <w:jc w:val="left"/>
        <w:rPr>
          <w:rFonts w:ascii="Cambria Math" w:eastAsia="Cambria Math"/>
          <w:sz w:val="17"/>
        </w:rPr>
      </w:pPr>
      <w:r>
        <w:rPr>
          <w:rFonts w:ascii="Cambria Math" w:eastAsia="Cambria Math"/>
          <w:spacing w:val="-5"/>
          <w:w w:val="105"/>
          <w:sz w:val="17"/>
        </w:rPr>
        <w:t>𝑖=1</w:t>
      </w:r>
      <w:r>
        <w:rPr>
          <w:rFonts w:ascii="Cambria Math" w:eastAsia="Cambria Math"/>
          <w:sz w:val="17"/>
        </w:rPr>
        <w:tab/>
      </w:r>
      <w:r>
        <w:rPr>
          <w:rFonts w:ascii="Cambria Math" w:eastAsia="Cambria Math"/>
          <w:spacing w:val="-5"/>
          <w:w w:val="105"/>
          <w:sz w:val="17"/>
        </w:rPr>
        <w:t>𝑖=1</w:t>
      </w:r>
    </w:p>
    <w:p>
      <w:pPr>
        <w:spacing w:after="0"/>
        <w:jc w:val="left"/>
        <w:rPr>
          <w:rFonts w:ascii="Cambria Math" w:eastAsia="Cambria Math"/>
          <w:sz w:val="17"/>
        </w:rPr>
        <w:sectPr>
          <w:type w:val="continuous"/>
          <w:pgSz w:w="11910" w:h="16840"/>
          <w:pgMar w:header="0" w:footer="1186" w:top="1760" w:bottom="1640" w:left="1700" w:right="992"/>
          <w:cols w:num="2" w:equalWidth="0">
            <w:col w:w="2256" w:space="40"/>
            <w:col w:w="6922"/>
          </w:cols>
        </w:sectPr>
      </w:pPr>
    </w:p>
    <w:p>
      <w:pPr>
        <w:pStyle w:val="BodyText"/>
        <w:spacing w:before="24"/>
        <w:jc w:val="left"/>
        <w:rPr>
          <w:rFonts w:ascii="Cambria Math"/>
        </w:rPr>
      </w:pPr>
    </w:p>
    <w:p>
      <w:pPr>
        <w:pStyle w:val="BodyText"/>
        <w:spacing w:line="230" w:lineRule="auto" w:before="1"/>
        <w:ind w:left="2554" w:right="720" w:hanging="1133"/>
        <w:jc w:val="left"/>
      </w:pPr>
      <w:r>
        <w:rPr>
          <w:rFonts w:ascii="Cambria Math" w:hAnsi="Cambria Math" w:eastAsia="Cambria Math"/>
        </w:rPr>
        <w:t>∆𝑃𝐷𝑇𝐿</w:t>
      </w:r>
      <w:r>
        <w:rPr>
          <w:rFonts w:ascii="Cambria Math" w:hAnsi="Cambria Math" w:eastAsia="Cambria Math"/>
          <w:vertAlign w:val="subscript"/>
        </w:rPr>
        <w:t>𝑁</w:t>
      </w:r>
      <w:r>
        <w:rPr>
          <w:rFonts w:ascii="Cambria Math" w:hAnsi="Cambria Math" w:eastAsia="Cambria Math"/>
          <w:spacing w:val="-14"/>
          <w:vertAlign w:val="baseline"/>
        </w:rPr>
        <w:t> </w:t>
      </w:r>
      <w:r>
        <w:rPr>
          <w:vertAlign w:val="baseline"/>
        </w:rPr>
        <w:t>=</w:t>
      </w:r>
      <w:r>
        <w:rPr>
          <w:spacing w:val="-8"/>
          <w:vertAlign w:val="baseline"/>
        </w:rPr>
        <w:t> </w:t>
      </w:r>
      <w:r>
        <w:rPr>
          <w:vertAlign w:val="baseline"/>
        </w:rPr>
        <w:t>Perubahan</w:t>
      </w:r>
      <w:r>
        <w:rPr>
          <w:spacing w:val="-7"/>
          <w:vertAlign w:val="baseline"/>
        </w:rPr>
        <w:t> </w:t>
      </w:r>
      <w:r>
        <w:rPr>
          <w:vertAlign w:val="baseline"/>
        </w:rPr>
        <w:t>pendapatan</w:t>
      </w:r>
      <w:r>
        <w:rPr>
          <w:spacing w:val="-7"/>
          <w:vertAlign w:val="baseline"/>
        </w:rPr>
        <w:t> </w:t>
      </w:r>
      <w:r>
        <w:rPr>
          <w:vertAlign w:val="baseline"/>
        </w:rPr>
        <w:t>daerah</w:t>
      </w:r>
      <w:r>
        <w:rPr>
          <w:spacing w:val="-7"/>
          <w:vertAlign w:val="baseline"/>
        </w:rPr>
        <w:t> </w:t>
      </w:r>
      <w:r>
        <w:rPr>
          <w:vertAlign w:val="baseline"/>
        </w:rPr>
        <w:t>secara</w:t>
      </w:r>
      <w:r>
        <w:rPr>
          <w:spacing w:val="-7"/>
          <w:vertAlign w:val="baseline"/>
        </w:rPr>
        <w:t> </w:t>
      </w:r>
      <w:r>
        <w:rPr>
          <w:vertAlign w:val="baseline"/>
        </w:rPr>
        <w:t>tidak</w:t>
      </w:r>
      <w:r>
        <w:rPr>
          <w:spacing w:val="-5"/>
          <w:vertAlign w:val="baseline"/>
        </w:rPr>
        <w:t> </w:t>
      </w:r>
      <w:r>
        <w:rPr>
          <w:vertAlign w:val="baseline"/>
        </w:rPr>
        <w:t>langsung ketika enam kecamatan bergabung dengan IKN</w:t>
      </w:r>
    </w:p>
    <w:p>
      <w:pPr>
        <w:pStyle w:val="BodyText"/>
        <w:spacing w:before="10"/>
        <w:ind w:left="1421"/>
        <w:jc w:val="left"/>
      </w:pPr>
      <w:r>
        <w:rPr>
          <w:rFonts w:ascii="Cambria Math" w:eastAsia="Cambria Math"/>
        </w:rPr>
        <w:t>𝑃𝐵𝑇𝐿</w:t>
      </w:r>
      <w:r>
        <w:rPr>
          <w:rFonts w:ascii="Cambria Math" w:eastAsia="Cambria Math"/>
          <w:vertAlign w:val="subscript"/>
        </w:rPr>
        <w:t>𝑖</w:t>
      </w:r>
      <w:r>
        <w:rPr>
          <w:rFonts w:ascii="Cambria Math" w:eastAsia="Cambria Math"/>
          <w:spacing w:val="-14"/>
          <w:vertAlign w:val="baseline"/>
        </w:rPr>
        <w:t> </w:t>
      </w:r>
      <w:r>
        <w:rPr>
          <w:vertAlign w:val="baseline"/>
        </w:rPr>
        <w:t>=</w:t>
      </w:r>
      <w:r>
        <w:rPr>
          <w:spacing w:val="-8"/>
          <w:vertAlign w:val="baseline"/>
        </w:rPr>
        <w:t> </w:t>
      </w:r>
      <w:r>
        <w:rPr>
          <w:vertAlign w:val="baseline"/>
        </w:rPr>
        <w:t>Potensi</w:t>
      </w:r>
      <w:r>
        <w:rPr>
          <w:spacing w:val="-8"/>
          <w:vertAlign w:val="baseline"/>
        </w:rPr>
        <w:t> </w:t>
      </w:r>
      <w:r>
        <w:rPr>
          <w:vertAlign w:val="baseline"/>
        </w:rPr>
        <w:t>manfaat</w:t>
      </w:r>
      <w:r>
        <w:rPr>
          <w:spacing w:val="-6"/>
          <w:vertAlign w:val="baseline"/>
        </w:rPr>
        <w:t> </w:t>
      </w:r>
      <w:r>
        <w:rPr>
          <w:vertAlign w:val="baseline"/>
        </w:rPr>
        <w:t>tidak</w:t>
      </w:r>
      <w:r>
        <w:rPr>
          <w:spacing w:val="-2"/>
          <w:vertAlign w:val="baseline"/>
        </w:rPr>
        <w:t> langsung</w:t>
      </w:r>
    </w:p>
    <w:p>
      <w:pPr>
        <w:pStyle w:val="BodyText"/>
        <w:spacing w:before="12"/>
        <w:ind w:left="1421"/>
        <w:jc w:val="left"/>
      </w:pPr>
      <w:r>
        <w:rPr>
          <w:rFonts w:ascii="Cambria Math" w:eastAsia="Cambria Math"/>
        </w:rPr>
        <w:t>𝑃𝐶𝑇𝐿</w:t>
      </w:r>
      <w:r>
        <w:rPr>
          <w:rFonts w:ascii="Cambria Math" w:eastAsia="Cambria Math"/>
          <w:vertAlign w:val="subscript"/>
        </w:rPr>
        <w:t>𝑖</w:t>
      </w:r>
      <w:r>
        <w:rPr>
          <w:rFonts w:ascii="Cambria Math" w:eastAsia="Cambria Math"/>
          <w:spacing w:val="-12"/>
          <w:vertAlign w:val="baseline"/>
        </w:rPr>
        <w:t> </w:t>
      </w:r>
      <w:r>
        <w:rPr>
          <w:vertAlign w:val="baseline"/>
        </w:rPr>
        <w:t>=</w:t>
      </w:r>
      <w:r>
        <w:rPr>
          <w:spacing w:val="-7"/>
          <w:vertAlign w:val="baseline"/>
        </w:rPr>
        <w:t> </w:t>
      </w:r>
      <w:r>
        <w:rPr>
          <w:vertAlign w:val="baseline"/>
        </w:rPr>
        <w:t>Potensi</w:t>
      </w:r>
      <w:r>
        <w:rPr>
          <w:spacing w:val="-5"/>
          <w:vertAlign w:val="baseline"/>
        </w:rPr>
        <w:t> </w:t>
      </w:r>
      <w:r>
        <w:rPr>
          <w:vertAlign w:val="baseline"/>
        </w:rPr>
        <w:t>biaya</w:t>
      </w:r>
      <w:r>
        <w:rPr>
          <w:spacing w:val="-2"/>
          <w:vertAlign w:val="baseline"/>
        </w:rPr>
        <w:t> </w:t>
      </w:r>
      <w:r>
        <w:rPr>
          <w:vertAlign w:val="baseline"/>
        </w:rPr>
        <w:t>tidak </w:t>
      </w:r>
      <w:r>
        <w:rPr>
          <w:spacing w:val="-2"/>
          <w:vertAlign w:val="baseline"/>
        </w:rPr>
        <w:t>langsung</w:t>
      </w:r>
    </w:p>
    <w:p>
      <w:pPr>
        <w:pStyle w:val="BodyText"/>
        <w:spacing w:line="360" w:lineRule="auto" w:before="300"/>
        <w:ind w:left="993" w:right="701" w:firstLine="720"/>
      </w:pPr>
      <w:r>
        <w:rPr/>
        <w:t>Penggabungan dari dampak langsung dan dampak tidak langsung inilah yang menjadi dampak total perubahan pendapatan daerah akibat diambil wilayah enam kecamatan Kabupaten Kutai Kartanegara oleh IKN.</w:t>
      </w:r>
    </w:p>
    <w:p>
      <w:pPr>
        <w:spacing w:line="279" w:lineRule="exact" w:before="0"/>
        <w:ind w:left="96" w:right="0" w:firstLine="0"/>
        <w:jc w:val="center"/>
        <w:rPr>
          <w:rFonts w:ascii="Cambria Math" w:hAnsi="Cambria Math" w:eastAsia="Cambria Math"/>
          <w:sz w:val="24"/>
        </w:rPr>
      </w:pPr>
      <w:r>
        <w:rPr>
          <w:rFonts w:ascii="Cambria Math" w:hAnsi="Cambria Math" w:eastAsia="Cambria Math"/>
          <w:sz w:val="24"/>
        </w:rPr>
        <w:t>𝑃𝐷</w:t>
      </w:r>
      <w:r>
        <w:rPr>
          <w:rFonts w:ascii="Cambria Math" w:hAnsi="Cambria Math" w:eastAsia="Cambria Math"/>
          <w:sz w:val="24"/>
          <w:vertAlign w:val="subscript"/>
        </w:rPr>
        <w:t>𝑁</w:t>
      </w:r>
      <w:r>
        <w:rPr>
          <w:rFonts w:ascii="Cambria Math" w:hAnsi="Cambria Math" w:eastAsia="Cambria Math"/>
          <w:spacing w:val="-7"/>
          <w:sz w:val="24"/>
          <w:vertAlign w:val="baseline"/>
        </w:rPr>
        <w:t> </w:t>
      </w:r>
      <w:r>
        <w:rPr>
          <w:rFonts w:ascii="Cambria Math" w:hAnsi="Cambria Math" w:eastAsia="Cambria Math"/>
          <w:sz w:val="24"/>
          <w:vertAlign w:val="baseline"/>
        </w:rPr>
        <w:t>=</w:t>
      </w:r>
      <w:r>
        <w:rPr>
          <w:rFonts w:ascii="Cambria Math" w:hAnsi="Cambria Math" w:eastAsia="Cambria Math"/>
          <w:spacing w:val="8"/>
          <w:sz w:val="24"/>
          <w:vertAlign w:val="baseline"/>
        </w:rPr>
        <w:t> </w:t>
      </w:r>
      <w:r>
        <w:rPr>
          <w:rFonts w:ascii="Cambria Math" w:hAnsi="Cambria Math" w:eastAsia="Cambria Math"/>
          <w:sz w:val="24"/>
          <w:vertAlign w:val="baseline"/>
        </w:rPr>
        <w:t>𝑃𝐷</w:t>
      </w:r>
      <w:r>
        <w:rPr>
          <w:rFonts w:ascii="Cambria Math" w:hAnsi="Cambria Math" w:eastAsia="Cambria Math"/>
          <w:sz w:val="24"/>
          <w:vertAlign w:val="subscript"/>
        </w:rPr>
        <w:t>𝑋</w:t>
      </w:r>
      <w:r>
        <w:rPr>
          <w:rFonts w:ascii="Cambria Math" w:hAnsi="Cambria Math" w:eastAsia="Cambria Math"/>
          <w:spacing w:val="13"/>
          <w:sz w:val="24"/>
          <w:vertAlign w:val="baseline"/>
        </w:rPr>
        <w:t> </w:t>
      </w:r>
      <w:r>
        <w:rPr>
          <w:rFonts w:ascii="Cambria Math" w:hAnsi="Cambria Math" w:eastAsia="Cambria Math"/>
          <w:sz w:val="24"/>
          <w:vertAlign w:val="baseline"/>
        </w:rPr>
        <w:t>+</w:t>
      </w:r>
      <w:r>
        <w:rPr>
          <w:rFonts w:ascii="Cambria Math" w:hAnsi="Cambria Math" w:eastAsia="Cambria Math"/>
          <w:spacing w:val="48"/>
          <w:sz w:val="24"/>
          <w:vertAlign w:val="baseline"/>
        </w:rPr>
        <w:t> </w:t>
      </w:r>
      <w:r>
        <w:rPr>
          <w:rFonts w:ascii="Cambria Math" w:hAnsi="Cambria Math" w:eastAsia="Cambria Math"/>
          <w:sz w:val="24"/>
          <w:vertAlign w:val="baseline"/>
        </w:rPr>
        <w:t>∆𝑃𝐷𝐿</w:t>
      </w:r>
      <w:r>
        <w:rPr>
          <w:rFonts w:ascii="Cambria Math" w:hAnsi="Cambria Math" w:eastAsia="Cambria Math"/>
          <w:sz w:val="24"/>
          <w:vertAlign w:val="subscript"/>
        </w:rPr>
        <w:t>𝑁</w:t>
      </w:r>
      <w:r>
        <w:rPr>
          <w:rFonts w:ascii="Cambria Math" w:hAnsi="Cambria Math" w:eastAsia="Cambria Math"/>
          <w:spacing w:val="17"/>
          <w:sz w:val="24"/>
          <w:vertAlign w:val="baseline"/>
        </w:rPr>
        <w:t> </w:t>
      </w:r>
      <w:r>
        <w:rPr>
          <w:rFonts w:ascii="Cambria Math" w:hAnsi="Cambria Math" w:eastAsia="Cambria Math"/>
          <w:sz w:val="24"/>
          <w:vertAlign w:val="baseline"/>
        </w:rPr>
        <w:t>+</w:t>
      </w:r>
      <w:r>
        <w:rPr>
          <w:rFonts w:ascii="Cambria Math" w:hAnsi="Cambria Math" w:eastAsia="Cambria Math"/>
          <w:spacing w:val="-5"/>
          <w:sz w:val="24"/>
          <w:vertAlign w:val="baseline"/>
        </w:rPr>
        <w:t> </w:t>
      </w:r>
      <w:r>
        <w:rPr>
          <w:rFonts w:ascii="Cambria Math" w:hAnsi="Cambria Math" w:eastAsia="Cambria Math"/>
          <w:spacing w:val="-2"/>
          <w:sz w:val="24"/>
          <w:vertAlign w:val="baseline"/>
        </w:rPr>
        <w:t>∆𝑃𝐷𝑇𝐿</w:t>
      </w:r>
      <w:r>
        <w:rPr>
          <w:rFonts w:ascii="Cambria Math" w:hAnsi="Cambria Math" w:eastAsia="Cambria Math"/>
          <w:spacing w:val="-2"/>
          <w:sz w:val="24"/>
          <w:vertAlign w:val="subscript"/>
        </w:rPr>
        <w:t>𝑁</w:t>
      </w:r>
    </w:p>
    <w:p>
      <w:pPr>
        <w:pStyle w:val="BodyText"/>
        <w:ind w:left="1421"/>
        <w:jc w:val="left"/>
      </w:pPr>
      <w:r>
        <w:rPr>
          <w:spacing w:val="-2"/>
        </w:rPr>
        <w:t>dimana,</w:t>
      </w:r>
    </w:p>
    <w:p>
      <w:pPr>
        <w:pStyle w:val="BodyText"/>
        <w:spacing w:line="230" w:lineRule="auto" w:before="13"/>
        <w:ind w:left="2127" w:right="853" w:hanging="706"/>
        <w:jc w:val="left"/>
      </w:pPr>
      <w:r>
        <w:rPr>
          <w:rFonts w:ascii="Cambria Math" w:eastAsia="Cambria Math"/>
        </w:rPr>
        <w:t>𝑃𝐷</w:t>
      </w:r>
      <w:r>
        <w:rPr>
          <w:rFonts w:ascii="Cambria Math" w:eastAsia="Cambria Math"/>
          <w:vertAlign w:val="subscript"/>
        </w:rPr>
        <w:t>𝑁</w:t>
      </w:r>
      <w:r>
        <w:rPr>
          <w:rFonts w:ascii="Cambria Math" w:eastAsia="Cambria Math"/>
          <w:spacing w:val="-11"/>
          <w:vertAlign w:val="baseline"/>
        </w:rPr>
        <w:t> </w:t>
      </w:r>
      <w:r>
        <w:rPr>
          <w:vertAlign w:val="baseline"/>
        </w:rPr>
        <w:t>=</w:t>
      </w:r>
      <w:r>
        <w:rPr>
          <w:spacing w:val="-9"/>
          <w:vertAlign w:val="baseline"/>
        </w:rPr>
        <w:t> </w:t>
      </w:r>
      <w:r>
        <w:rPr>
          <w:vertAlign w:val="baseline"/>
        </w:rPr>
        <w:t>Pendapatan</w:t>
      </w:r>
      <w:r>
        <w:rPr>
          <w:spacing w:val="-8"/>
          <w:vertAlign w:val="baseline"/>
        </w:rPr>
        <w:t> </w:t>
      </w:r>
      <w:r>
        <w:rPr>
          <w:vertAlign w:val="baseline"/>
        </w:rPr>
        <w:t>daerah</w:t>
      </w:r>
      <w:r>
        <w:rPr>
          <w:spacing w:val="-8"/>
          <w:vertAlign w:val="baseline"/>
        </w:rPr>
        <w:t> </w:t>
      </w:r>
      <w:r>
        <w:rPr>
          <w:vertAlign w:val="baseline"/>
        </w:rPr>
        <w:t>Kabupaten</w:t>
      </w:r>
      <w:r>
        <w:rPr>
          <w:spacing w:val="-9"/>
          <w:vertAlign w:val="baseline"/>
        </w:rPr>
        <w:t> </w:t>
      </w:r>
      <w:r>
        <w:rPr>
          <w:vertAlign w:val="baseline"/>
        </w:rPr>
        <w:t>Kukar</w:t>
      </w:r>
      <w:r>
        <w:rPr>
          <w:spacing w:val="-9"/>
          <w:vertAlign w:val="baseline"/>
        </w:rPr>
        <w:t> </w:t>
      </w:r>
      <w:r>
        <w:rPr>
          <w:vertAlign w:val="baseline"/>
        </w:rPr>
        <w:t>yang</w:t>
      </w:r>
      <w:r>
        <w:rPr>
          <w:spacing w:val="-9"/>
          <w:vertAlign w:val="baseline"/>
        </w:rPr>
        <w:t> </w:t>
      </w:r>
      <w:r>
        <w:rPr>
          <w:vertAlign w:val="baseline"/>
        </w:rPr>
        <w:t>baru</w:t>
      </w:r>
      <w:r>
        <w:rPr>
          <w:spacing w:val="-9"/>
          <w:vertAlign w:val="baseline"/>
        </w:rPr>
        <w:t> </w:t>
      </w:r>
      <w:r>
        <w:rPr>
          <w:vertAlign w:val="baseline"/>
        </w:rPr>
        <w:t>tanpa enam kecamatan</w:t>
      </w:r>
    </w:p>
    <w:p>
      <w:pPr>
        <w:pStyle w:val="BodyText"/>
        <w:spacing w:line="316" w:lineRule="exact" w:before="11"/>
        <w:ind w:left="1421"/>
        <w:jc w:val="left"/>
      </w:pPr>
      <w:r>
        <w:rPr>
          <w:rFonts w:ascii="Cambria Math" w:hAnsi="Cambria Math" w:eastAsia="Cambria Math"/>
        </w:rPr>
        <w:t>∆𝑃𝐷𝐿</w:t>
      </w:r>
      <w:r>
        <w:rPr>
          <w:rFonts w:ascii="Cambria Math" w:hAnsi="Cambria Math" w:eastAsia="Cambria Math"/>
          <w:vertAlign w:val="subscript"/>
        </w:rPr>
        <w:t>𝑁</w:t>
      </w:r>
      <w:r>
        <w:rPr>
          <w:rFonts w:ascii="Cambria Math" w:hAnsi="Cambria Math" w:eastAsia="Cambria Math"/>
          <w:spacing w:val="-11"/>
          <w:vertAlign w:val="baseline"/>
        </w:rPr>
        <w:t> </w:t>
      </w:r>
      <w:r>
        <w:rPr>
          <w:vertAlign w:val="baseline"/>
        </w:rPr>
        <w:t>=</w:t>
      </w:r>
      <w:r>
        <w:rPr>
          <w:spacing w:val="-9"/>
          <w:vertAlign w:val="baseline"/>
        </w:rPr>
        <w:t> </w:t>
      </w:r>
      <w:r>
        <w:rPr>
          <w:vertAlign w:val="baseline"/>
        </w:rPr>
        <w:t>Perubahan</w:t>
      </w:r>
      <w:r>
        <w:rPr>
          <w:spacing w:val="-4"/>
          <w:vertAlign w:val="baseline"/>
        </w:rPr>
        <w:t> </w:t>
      </w:r>
      <w:r>
        <w:rPr>
          <w:vertAlign w:val="baseline"/>
        </w:rPr>
        <w:t>pendapatan</w:t>
      </w:r>
      <w:r>
        <w:rPr>
          <w:spacing w:val="-7"/>
          <w:vertAlign w:val="baseline"/>
        </w:rPr>
        <w:t> </w:t>
      </w:r>
      <w:r>
        <w:rPr>
          <w:vertAlign w:val="baseline"/>
        </w:rPr>
        <w:t>daerah</w:t>
      </w:r>
      <w:r>
        <w:rPr>
          <w:spacing w:val="-4"/>
          <w:vertAlign w:val="baseline"/>
        </w:rPr>
        <w:t> </w:t>
      </w:r>
      <w:r>
        <w:rPr>
          <w:vertAlign w:val="baseline"/>
        </w:rPr>
        <w:t>akibat</w:t>
      </w:r>
      <w:r>
        <w:rPr>
          <w:spacing w:val="-7"/>
          <w:vertAlign w:val="baseline"/>
        </w:rPr>
        <w:t> </w:t>
      </w:r>
      <w:r>
        <w:rPr>
          <w:vertAlign w:val="baseline"/>
        </w:rPr>
        <w:t>dampak</w:t>
      </w:r>
      <w:r>
        <w:rPr>
          <w:spacing w:val="-6"/>
          <w:vertAlign w:val="baseline"/>
        </w:rPr>
        <w:t> </w:t>
      </w:r>
      <w:r>
        <w:rPr>
          <w:spacing w:val="-2"/>
          <w:vertAlign w:val="baseline"/>
        </w:rPr>
        <w:t>langsung</w:t>
      </w:r>
    </w:p>
    <w:p>
      <w:pPr>
        <w:pStyle w:val="BodyText"/>
        <w:spacing w:line="230" w:lineRule="auto" w:before="7"/>
        <w:ind w:left="2127" w:right="720" w:hanging="706"/>
        <w:jc w:val="left"/>
      </w:pPr>
      <w:r>
        <w:rPr>
          <w:rFonts w:ascii="Cambria Math" w:hAnsi="Cambria Math" w:eastAsia="Cambria Math"/>
        </w:rPr>
        <w:t>∆𝑃𝐷𝑇𝐿</w:t>
      </w:r>
      <w:r>
        <w:rPr>
          <w:rFonts w:ascii="Cambria Math" w:hAnsi="Cambria Math" w:eastAsia="Cambria Math"/>
          <w:vertAlign w:val="subscript"/>
        </w:rPr>
        <w:t>𝑁</w:t>
      </w:r>
      <w:r>
        <w:rPr>
          <w:rFonts w:ascii="Cambria Math" w:hAnsi="Cambria Math" w:eastAsia="Cambria Math"/>
          <w:spacing w:val="-14"/>
          <w:vertAlign w:val="baseline"/>
        </w:rPr>
        <w:t> </w:t>
      </w:r>
      <w:r>
        <w:rPr>
          <w:vertAlign w:val="baseline"/>
        </w:rPr>
        <w:t>=</w:t>
      </w:r>
      <w:r>
        <w:rPr>
          <w:spacing w:val="-9"/>
          <w:vertAlign w:val="baseline"/>
        </w:rPr>
        <w:t> </w:t>
      </w:r>
      <w:r>
        <w:rPr>
          <w:vertAlign w:val="baseline"/>
        </w:rPr>
        <w:t>Perubahan</w:t>
      </w:r>
      <w:r>
        <w:rPr>
          <w:spacing w:val="-8"/>
          <w:vertAlign w:val="baseline"/>
        </w:rPr>
        <w:t> </w:t>
      </w:r>
      <w:r>
        <w:rPr>
          <w:vertAlign w:val="baseline"/>
        </w:rPr>
        <w:t>pendapatan</w:t>
      </w:r>
      <w:r>
        <w:rPr>
          <w:spacing w:val="-8"/>
          <w:vertAlign w:val="baseline"/>
        </w:rPr>
        <w:t> </w:t>
      </w:r>
      <w:r>
        <w:rPr>
          <w:vertAlign w:val="baseline"/>
        </w:rPr>
        <w:t>daerah</w:t>
      </w:r>
      <w:r>
        <w:rPr>
          <w:spacing w:val="-8"/>
          <w:vertAlign w:val="baseline"/>
        </w:rPr>
        <w:t> </w:t>
      </w:r>
      <w:r>
        <w:rPr>
          <w:vertAlign w:val="baseline"/>
        </w:rPr>
        <w:t>akibat</w:t>
      </w:r>
      <w:r>
        <w:rPr>
          <w:spacing w:val="-6"/>
          <w:vertAlign w:val="baseline"/>
        </w:rPr>
        <w:t> </w:t>
      </w:r>
      <w:r>
        <w:rPr>
          <w:vertAlign w:val="baseline"/>
        </w:rPr>
        <w:t>dampak</w:t>
      </w:r>
      <w:r>
        <w:rPr>
          <w:spacing w:val="-6"/>
          <w:vertAlign w:val="baseline"/>
        </w:rPr>
        <w:t> </w:t>
      </w:r>
      <w:r>
        <w:rPr>
          <w:vertAlign w:val="baseline"/>
        </w:rPr>
        <w:t>tidak </w:t>
      </w:r>
      <w:r>
        <w:rPr>
          <w:spacing w:val="-2"/>
          <w:vertAlign w:val="baseline"/>
        </w:rPr>
        <w:t>langsung</w:t>
      </w:r>
    </w:p>
    <w:p>
      <w:pPr>
        <w:pStyle w:val="BodyText"/>
        <w:spacing w:after="0" w:line="230" w:lineRule="auto"/>
        <w:jc w:val="left"/>
        <w:sectPr>
          <w:type w:val="continuous"/>
          <w:pgSz w:w="11910" w:h="16840"/>
          <w:pgMar w:header="0" w:footer="1186" w:top="1760" w:bottom="1640" w:left="1700" w:right="992"/>
        </w:sectPr>
      </w:pPr>
    </w:p>
    <w:p>
      <w:pPr>
        <w:pStyle w:val="Heading2"/>
        <w:numPr>
          <w:ilvl w:val="1"/>
          <w:numId w:val="25"/>
        </w:numPr>
        <w:tabs>
          <w:tab w:pos="977" w:val="left" w:leader="none"/>
        </w:tabs>
        <w:spacing w:line="240" w:lineRule="auto" w:before="82" w:after="0"/>
        <w:ind w:left="977" w:right="0" w:hanging="411"/>
        <w:jc w:val="both"/>
      </w:pPr>
      <w:bookmarkStart w:name="_bookmark25" w:id="26"/>
      <w:bookmarkEnd w:id="26"/>
      <w:r>
        <w:rPr>
          <w:b w:val="0"/>
        </w:rPr>
      </w:r>
      <w:r>
        <w:rPr/>
        <w:t>Teknik</w:t>
      </w:r>
      <w:r>
        <w:rPr>
          <w:spacing w:val="-9"/>
        </w:rPr>
        <w:t> </w:t>
      </w:r>
      <w:r>
        <w:rPr/>
        <w:t>Pengumpulan</w:t>
      </w:r>
      <w:r>
        <w:rPr>
          <w:spacing w:val="-9"/>
        </w:rPr>
        <w:t> </w:t>
      </w:r>
      <w:r>
        <w:rPr>
          <w:spacing w:val="-4"/>
        </w:rPr>
        <w:t>Data</w:t>
      </w:r>
    </w:p>
    <w:p>
      <w:pPr>
        <w:pStyle w:val="BodyText"/>
        <w:spacing w:line="360" w:lineRule="auto" w:before="223"/>
        <w:ind w:left="993" w:right="700" w:firstLine="850"/>
      </w:pPr>
      <w:r>
        <w:rPr/>
        <w:t>Pengumpulan data primer dilakukan dengan wawancara mendalam </w:t>
      </w:r>
      <w:r>
        <w:rPr>
          <w:i/>
        </w:rPr>
        <w:t>(in-depth interview) </w:t>
      </w:r>
      <w:r>
        <w:rPr/>
        <w:t>kepada </w:t>
      </w:r>
      <w:r>
        <w:rPr>
          <w:i/>
        </w:rPr>
        <w:t>key informan </w:t>
      </w:r>
      <w:r>
        <w:rPr/>
        <w:t>yang sudah ditetapkan. Dalam pelaksanaannya, wawancara dilakukan secara bebas artinya</w:t>
      </w:r>
      <w:r>
        <w:rPr>
          <w:spacing w:val="-17"/>
        </w:rPr>
        <w:t> </w:t>
      </w:r>
      <w:r>
        <w:rPr/>
        <w:t>pewawancara</w:t>
      </w:r>
      <w:r>
        <w:rPr>
          <w:spacing w:val="-16"/>
        </w:rPr>
        <w:t> </w:t>
      </w:r>
      <w:r>
        <w:rPr/>
        <w:t>bebas</w:t>
      </w:r>
      <w:r>
        <w:rPr>
          <w:spacing w:val="-17"/>
        </w:rPr>
        <w:t> </w:t>
      </w:r>
      <w:r>
        <w:rPr/>
        <w:t>menanyakan</w:t>
      </w:r>
      <w:r>
        <w:rPr>
          <w:spacing w:val="-16"/>
        </w:rPr>
        <w:t> </w:t>
      </w:r>
      <w:r>
        <w:rPr/>
        <w:t>apa</w:t>
      </w:r>
      <w:r>
        <w:rPr>
          <w:spacing w:val="-17"/>
        </w:rPr>
        <w:t> </w:t>
      </w:r>
      <w:r>
        <w:rPr/>
        <w:t>saja</w:t>
      </w:r>
      <w:r>
        <w:rPr>
          <w:spacing w:val="-16"/>
        </w:rPr>
        <w:t> </w:t>
      </w:r>
      <w:r>
        <w:rPr/>
        <w:t>kepada</w:t>
      </w:r>
      <w:r>
        <w:rPr>
          <w:spacing w:val="-17"/>
        </w:rPr>
        <w:t> </w:t>
      </w:r>
      <w:r>
        <w:rPr/>
        <w:t>terwawancara tanpa</w:t>
      </w:r>
      <w:r>
        <w:rPr>
          <w:spacing w:val="-13"/>
        </w:rPr>
        <w:t> </w:t>
      </w:r>
      <w:r>
        <w:rPr/>
        <w:t>membawa</w:t>
      </w:r>
      <w:r>
        <w:rPr>
          <w:spacing w:val="-12"/>
        </w:rPr>
        <w:t> </w:t>
      </w:r>
      <w:r>
        <w:rPr/>
        <w:t>lembar</w:t>
      </w:r>
      <w:r>
        <w:rPr>
          <w:spacing w:val="-8"/>
        </w:rPr>
        <w:t> </w:t>
      </w:r>
      <w:r>
        <w:rPr/>
        <w:t>pedomannya/</w:t>
      </w:r>
      <w:r>
        <w:rPr>
          <w:spacing w:val="-8"/>
        </w:rPr>
        <w:t> </w:t>
      </w:r>
      <w:r>
        <w:rPr/>
        <w:t>lembar</w:t>
      </w:r>
      <w:r>
        <w:rPr>
          <w:spacing w:val="-7"/>
        </w:rPr>
        <w:t> </w:t>
      </w:r>
      <w:r>
        <w:rPr/>
        <w:t>pedoman</w:t>
      </w:r>
      <w:r>
        <w:rPr>
          <w:spacing w:val="-11"/>
        </w:rPr>
        <w:t> </w:t>
      </w:r>
      <w:r>
        <w:rPr/>
        <w:t>menjadi</w:t>
      </w:r>
      <w:r>
        <w:rPr>
          <w:spacing w:val="-6"/>
        </w:rPr>
        <w:t> </w:t>
      </w:r>
      <w:r>
        <w:rPr/>
        <w:t>dasar pertanyaan</w:t>
      </w:r>
      <w:r>
        <w:rPr>
          <w:spacing w:val="-17"/>
        </w:rPr>
        <w:t> </w:t>
      </w:r>
      <w:r>
        <w:rPr/>
        <w:t>yang</w:t>
      </w:r>
      <w:r>
        <w:rPr>
          <w:spacing w:val="-16"/>
        </w:rPr>
        <w:t> </w:t>
      </w:r>
      <w:r>
        <w:rPr/>
        <w:t>lebih</w:t>
      </w:r>
      <w:r>
        <w:rPr>
          <w:spacing w:val="-17"/>
        </w:rPr>
        <w:t> </w:t>
      </w:r>
      <w:r>
        <w:rPr/>
        <w:t>mendalam</w:t>
      </w:r>
      <w:r>
        <w:rPr>
          <w:spacing w:val="-16"/>
        </w:rPr>
        <w:t> </w:t>
      </w:r>
      <w:r>
        <w:rPr/>
        <w:t>(Moleong,</w:t>
      </w:r>
      <w:r>
        <w:rPr>
          <w:spacing w:val="-17"/>
        </w:rPr>
        <w:t> </w:t>
      </w:r>
      <w:r>
        <w:rPr/>
        <w:t>2018).</w:t>
      </w:r>
      <w:r>
        <w:rPr>
          <w:spacing w:val="-16"/>
        </w:rPr>
        <w:t> </w:t>
      </w:r>
      <w:r>
        <w:rPr/>
        <w:t>Kegiatan</w:t>
      </w:r>
      <w:r>
        <w:rPr>
          <w:spacing w:val="-17"/>
        </w:rPr>
        <w:t> </w:t>
      </w:r>
      <w:r>
        <w:rPr/>
        <w:t>wawancara dilaksanakan pada tanggal 22-27 Oktober 2023.</w:t>
      </w:r>
    </w:p>
    <w:p>
      <w:pPr>
        <w:pStyle w:val="BodyText"/>
        <w:spacing w:line="360" w:lineRule="auto"/>
        <w:ind w:left="993" w:right="699" w:firstLine="883"/>
      </w:pPr>
      <w:r>
        <w:rPr/>
        <w:t>Selain itu dilakukan observasi langsung terhadap potensi pendaoatan dan pengeluaran Kabupaten Kutai Kartanegara yang sebagian wilayahnya masuk ke dalam wilayah IKN. Observasi dalam sebuah penelitian diartikan sebagai pemusatan perhatian terhadap suatu objek dengan melibatkan seluruh indera untuk mendapatkan data. Jadi observasi adalah pengamatan langsung dengan menggunakan penglihatan, penciuman, pendengaran, perabaan, atau kalau perlu dengan pengecapan. Instrumen yang digunakan dalam observasi</w:t>
      </w:r>
      <w:r>
        <w:rPr>
          <w:spacing w:val="-12"/>
        </w:rPr>
        <w:t> </w:t>
      </w:r>
      <w:r>
        <w:rPr/>
        <w:t>dapat</w:t>
      </w:r>
      <w:r>
        <w:rPr>
          <w:spacing w:val="-11"/>
        </w:rPr>
        <w:t> </w:t>
      </w:r>
      <w:r>
        <w:rPr/>
        <w:t>berupa</w:t>
      </w:r>
      <w:r>
        <w:rPr>
          <w:spacing w:val="-12"/>
        </w:rPr>
        <w:t> </w:t>
      </w:r>
      <w:r>
        <w:rPr/>
        <w:t>pedoman</w:t>
      </w:r>
      <w:r>
        <w:rPr>
          <w:spacing w:val="-12"/>
        </w:rPr>
        <w:t> </w:t>
      </w:r>
      <w:r>
        <w:rPr/>
        <w:t>pengamatan,</w:t>
      </w:r>
      <w:r>
        <w:rPr>
          <w:spacing w:val="-10"/>
        </w:rPr>
        <w:t> </w:t>
      </w:r>
      <w:r>
        <w:rPr/>
        <w:t>tes,</w:t>
      </w:r>
      <w:r>
        <w:rPr>
          <w:spacing w:val="-10"/>
        </w:rPr>
        <w:t> </w:t>
      </w:r>
      <w:r>
        <w:rPr/>
        <w:t>kuesioner,</w:t>
      </w:r>
      <w:r>
        <w:rPr>
          <w:spacing w:val="-11"/>
        </w:rPr>
        <w:t> </w:t>
      </w:r>
      <w:r>
        <w:rPr/>
        <w:t>rekaman gambar, dan rekaman suara (Trianto, 2011). Namun, dalam kegiatan observasi yang dilaksanakan pada tanggal 22 – 27 Oktober 2023, para peneliti</w:t>
      </w:r>
      <w:r>
        <w:rPr>
          <w:spacing w:val="-12"/>
        </w:rPr>
        <w:t> </w:t>
      </w:r>
      <w:r>
        <w:rPr/>
        <w:t>melakukan</w:t>
      </w:r>
      <w:r>
        <w:rPr>
          <w:spacing w:val="-9"/>
        </w:rPr>
        <w:t> </w:t>
      </w:r>
      <w:r>
        <w:rPr/>
        <w:t>dengan</w:t>
      </w:r>
      <w:r>
        <w:rPr>
          <w:spacing w:val="-9"/>
        </w:rPr>
        <w:t> </w:t>
      </w:r>
      <w:r>
        <w:rPr/>
        <w:t>pengamatan</w:t>
      </w:r>
      <w:r>
        <w:rPr>
          <w:spacing w:val="-8"/>
        </w:rPr>
        <w:t> </w:t>
      </w:r>
      <w:r>
        <w:rPr/>
        <w:t>langsung</w:t>
      </w:r>
      <w:r>
        <w:rPr>
          <w:spacing w:val="-10"/>
        </w:rPr>
        <w:t> </w:t>
      </w:r>
      <w:r>
        <w:rPr/>
        <w:t>terhadap</w:t>
      </w:r>
      <w:r>
        <w:rPr>
          <w:spacing w:val="-9"/>
        </w:rPr>
        <w:t> </w:t>
      </w:r>
      <w:r>
        <w:rPr/>
        <w:t>objek</w:t>
      </w:r>
      <w:r>
        <w:rPr>
          <w:spacing w:val="-11"/>
        </w:rPr>
        <w:t> </w:t>
      </w:r>
      <w:r>
        <w:rPr/>
        <w:t>yang dianggap dapat menjadi potensi pertumbuhan ekonomi baru, melakukan rekaman gambar berupa foto dan video, serta kegiatan pengambilan titik GPS. Sedangkan data sekunder akan digali melalui studi dokumen dan tinjauan literatur antara lain Laporan Keuangan Pemerintah Daerah (LKPD) Kutai Kartanegara dan Laporan Keterangan Pertanggungjawaban (LKPJ)</w:t>
      </w:r>
      <w:r>
        <w:rPr>
          <w:spacing w:val="40"/>
        </w:rPr>
        <w:t> </w:t>
      </w:r>
      <w:r>
        <w:rPr/>
        <w:t>Bupati Kutai Kartanegara.</w:t>
      </w:r>
    </w:p>
    <w:p>
      <w:pPr>
        <w:pStyle w:val="BodyText"/>
        <w:spacing w:line="362" w:lineRule="auto" w:before="4"/>
        <w:ind w:left="993" w:right="707" w:firstLine="691"/>
      </w:pPr>
      <w:r>
        <w:rPr/>
        <w:t>Setelah data terkumpul dilakukan pemilahan secara selektif disesuaikan dengan permasalahan yang diangkat dalam penelitian.</w:t>
      </w:r>
    </w:p>
    <w:p>
      <w:pPr>
        <w:pStyle w:val="BodyText"/>
        <w:spacing w:after="0" w:line="362" w:lineRule="auto"/>
        <w:sectPr>
          <w:pgSz w:w="11910" w:h="16840"/>
          <w:pgMar w:header="0" w:footer="1186" w:top="1580" w:bottom="1380" w:left="1700" w:right="992"/>
        </w:sectPr>
      </w:pPr>
    </w:p>
    <w:p>
      <w:pPr>
        <w:pStyle w:val="BodyText"/>
        <w:spacing w:line="360" w:lineRule="auto" w:before="82"/>
        <w:ind w:left="993" w:right="703"/>
      </w:pPr>
      <w:r>
        <w:rPr/>
        <w:t>Setelah itu, dilakukan pengolahan dengan proses tabulasi data, editing data, yaitu dengan meneliti kembali data-data yang didapat, apakah data tersebut sudah cukup baik dan dapat segera dipersiapkan untuk proses berikutnya. Secara sistematis dan konsisten bahwa data yang diperoleh, dituangkan dalam suatu rancangan konsep yang kemudian dijadikan dasar utama dalam memberikan analisis.</w:t>
      </w:r>
    </w:p>
    <w:p>
      <w:pPr>
        <w:pStyle w:val="BodyText"/>
        <w:spacing w:line="360" w:lineRule="auto" w:before="3"/>
        <w:ind w:left="993" w:right="699" w:firstLine="754"/>
      </w:pPr>
      <w:r>
        <w:rPr/>
        <w:t>Informan yang berhasil diwawancari dalam kegiatan pengumpulan data penelitian ini terdiri dari: Bupati Kutai Kartanegara; DPRD Kabupaten Kutai Kartanegara; Sekretaris Daerah Kutai Kartanegara termasuk perangkatnya yakni Bidang Hukum dan Bidang Tata Pemerintahan; Badan Perencanaan Pembangunan Daerah (Bappeda);</w:t>
      </w:r>
      <w:r>
        <w:rPr>
          <w:spacing w:val="-9"/>
        </w:rPr>
        <w:t> </w:t>
      </w:r>
      <w:r>
        <w:rPr/>
        <w:t>Badan</w:t>
      </w:r>
      <w:r>
        <w:rPr>
          <w:spacing w:val="-10"/>
        </w:rPr>
        <w:t> </w:t>
      </w:r>
      <w:r>
        <w:rPr/>
        <w:t>Pengeloa</w:t>
      </w:r>
      <w:r>
        <w:rPr>
          <w:spacing w:val="-11"/>
        </w:rPr>
        <w:t> </w:t>
      </w:r>
      <w:r>
        <w:rPr/>
        <w:t>Keuangan</w:t>
      </w:r>
      <w:r>
        <w:rPr>
          <w:spacing w:val="-11"/>
        </w:rPr>
        <w:t> </w:t>
      </w:r>
      <w:r>
        <w:rPr/>
        <w:t>dan</w:t>
      </w:r>
      <w:r>
        <w:rPr>
          <w:spacing w:val="-11"/>
        </w:rPr>
        <w:t> </w:t>
      </w:r>
      <w:r>
        <w:rPr/>
        <w:t>Aset</w:t>
      </w:r>
      <w:r>
        <w:rPr>
          <w:spacing w:val="-9"/>
        </w:rPr>
        <w:t> </w:t>
      </w:r>
      <w:r>
        <w:rPr/>
        <w:t>Daerah</w:t>
      </w:r>
      <w:r>
        <w:rPr>
          <w:spacing w:val="-11"/>
        </w:rPr>
        <w:t> </w:t>
      </w:r>
      <w:r>
        <w:rPr/>
        <w:t>(BPKAD);</w:t>
      </w:r>
      <w:r>
        <w:rPr>
          <w:spacing w:val="-8"/>
        </w:rPr>
        <w:t> </w:t>
      </w:r>
      <w:r>
        <w:rPr/>
        <w:t>Badan Kepegawaian dan Pengembangan Sumber Daya Manusia (BKPSDM); Badan Pendapatan Daerah (Bappenda); Dinas Pekerjaan Umum; Dinas Penanaman</w:t>
      </w:r>
      <w:r>
        <w:rPr>
          <w:spacing w:val="-17"/>
        </w:rPr>
        <w:t> </w:t>
      </w:r>
      <w:r>
        <w:rPr/>
        <w:t>Modal</w:t>
      </w:r>
      <w:r>
        <w:rPr>
          <w:spacing w:val="-16"/>
        </w:rPr>
        <w:t> </w:t>
      </w:r>
      <w:r>
        <w:rPr/>
        <w:t>dan</w:t>
      </w:r>
      <w:r>
        <w:rPr>
          <w:spacing w:val="-17"/>
        </w:rPr>
        <w:t> </w:t>
      </w:r>
      <w:r>
        <w:rPr/>
        <w:t>Pelayanan</w:t>
      </w:r>
      <w:r>
        <w:rPr>
          <w:spacing w:val="-16"/>
        </w:rPr>
        <w:t> </w:t>
      </w:r>
      <w:r>
        <w:rPr/>
        <w:t>Terpadu</w:t>
      </w:r>
      <w:r>
        <w:rPr>
          <w:spacing w:val="-17"/>
        </w:rPr>
        <w:t> </w:t>
      </w:r>
      <w:r>
        <w:rPr/>
        <w:t>Satu</w:t>
      </w:r>
      <w:r>
        <w:rPr>
          <w:spacing w:val="-16"/>
        </w:rPr>
        <w:t> </w:t>
      </w:r>
      <w:r>
        <w:rPr/>
        <w:t>Pintu</w:t>
      </w:r>
      <w:r>
        <w:rPr>
          <w:spacing w:val="-17"/>
        </w:rPr>
        <w:t> </w:t>
      </w:r>
      <w:r>
        <w:rPr/>
        <w:t>(DPMPTSP);</w:t>
      </w:r>
      <w:r>
        <w:rPr>
          <w:spacing w:val="-16"/>
        </w:rPr>
        <w:t> </w:t>
      </w:r>
      <w:r>
        <w:rPr/>
        <w:t>Dinas Pariwisata; Dinas Tata Ruang; Camat; dan kepala desa di desa </w:t>
      </w:r>
      <w:r>
        <w:rPr>
          <w:spacing w:val="-2"/>
        </w:rPr>
        <w:t>terdampak.</w:t>
      </w:r>
    </w:p>
    <w:p>
      <w:pPr>
        <w:pStyle w:val="BodyText"/>
        <w:jc w:val="left"/>
      </w:pPr>
    </w:p>
    <w:p>
      <w:pPr>
        <w:pStyle w:val="BodyText"/>
        <w:spacing w:before="81"/>
        <w:jc w:val="left"/>
      </w:pPr>
    </w:p>
    <w:p>
      <w:pPr>
        <w:pStyle w:val="Heading2"/>
        <w:numPr>
          <w:ilvl w:val="1"/>
          <w:numId w:val="25"/>
        </w:numPr>
        <w:tabs>
          <w:tab w:pos="977" w:val="left" w:leader="none"/>
        </w:tabs>
        <w:spacing w:line="240" w:lineRule="auto" w:before="1" w:after="0"/>
        <w:ind w:left="977" w:right="0" w:hanging="411"/>
        <w:jc w:val="both"/>
      </w:pPr>
      <w:bookmarkStart w:name="_bookmark26" w:id="27"/>
      <w:bookmarkEnd w:id="27"/>
      <w:r>
        <w:rPr>
          <w:b w:val="0"/>
        </w:rPr>
      </w:r>
      <w:r>
        <w:rPr>
          <w:spacing w:val="-2"/>
        </w:rPr>
        <w:t>Analisis</w:t>
      </w:r>
      <w:r>
        <w:rPr>
          <w:spacing w:val="-4"/>
        </w:rPr>
        <w:t> Data</w:t>
      </w:r>
    </w:p>
    <w:p>
      <w:pPr>
        <w:pStyle w:val="BodyText"/>
        <w:spacing w:line="360" w:lineRule="auto" w:before="223"/>
        <w:ind w:left="854" w:right="766" w:firstLine="566"/>
      </w:pPr>
      <w:r>
        <w:rPr/>
        <w:t>Penilaian yang terukur dalam data, perlu dilengkapi dengan metode </w:t>
      </w:r>
      <w:r>
        <w:rPr>
          <w:i/>
        </w:rPr>
        <w:t>Regulatory Impact Assessment </w:t>
      </w:r>
      <w:r>
        <w:rPr/>
        <w:t>(RIA) (Sekretariat Jenderal DPR- RI, 2008). Melalui metode pembuatan kebijakan publik terkini yang sudah lebih dini diaplikasikan di negara maju ini, penilaian dampak negatif dan positif terhadap pendapatan dan pengeluaran daerah akan dilakukan dengan mempergunakan </w:t>
      </w:r>
      <w:r>
        <w:rPr>
          <w:i/>
        </w:rPr>
        <w:t>cost and benefit analysis </w:t>
      </w:r>
      <w:r>
        <w:rPr/>
        <w:t>dari perspektif</w:t>
      </w:r>
      <w:r>
        <w:rPr>
          <w:spacing w:val="40"/>
        </w:rPr>
        <w:t> </w:t>
      </w:r>
      <w:r>
        <w:rPr/>
        <w:t>ekonomi maupun sosial.</w:t>
      </w:r>
    </w:p>
    <w:p>
      <w:pPr>
        <w:pStyle w:val="BodyText"/>
        <w:spacing w:after="0" w:line="360" w:lineRule="auto"/>
        <w:sectPr>
          <w:pgSz w:w="11910" w:h="16840"/>
          <w:pgMar w:header="0" w:footer="1186" w:top="1580" w:bottom="1380" w:left="1700" w:right="992"/>
        </w:sectPr>
      </w:pPr>
    </w:p>
    <w:p>
      <w:pPr>
        <w:pStyle w:val="BodyText"/>
        <w:tabs>
          <w:tab w:pos="1963" w:val="left" w:leader="none"/>
          <w:tab w:pos="3058" w:val="left" w:leader="none"/>
          <w:tab w:pos="3514" w:val="left" w:leader="none"/>
          <w:tab w:pos="3721" w:val="left" w:leader="none"/>
          <w:tab w:pos="4470" w:val="left" w:leader="none"/>
          <w:tab w:pos="5305" w:val="left" w:leader="none"/>
          <w:tab w:pos="5637" w:val="left" w:leader="none"/>
          <w:tab w:pos="6636" w:val="left" w:leader="none"/>
          <w:tab w:pos="7188" w:val="left" w:leader="none"/>
          <w:tab w:pos="7639" w:val="left" w:leader="none"/>
          <w:tab w:pos="8028" w:val="left" w:leader="none"/>
          <w:tab w:pos="8191" w:val="left" w:leader="none"/>
        </w:tabs>
        <w:spacing w:line="360" w:lineRule="auto" w:before="82"/>
        <w:ind w:left="854" w:right="760" w:firstLine="763"/>
        <w:jc w:val="right"/>
      </w:pPr>
      <w:r>
        <w:rPr/>
        <w:t>Dengan</w:t>
      </w:r>
      <w:r>
        <w:rPr>
          <w:spacing w:val="40"/>
        </w:rPr>
        <w:t> </w:t>
      </w:r>
      <w:r>
        <w:rPr/>
        <w:t>demikian</w:t>
      </w:r>
      <w:r>
        <w:rPr>
          <w:spacing w:val="40"/>
        </w:rPr>
        <w:t> </w:t>
      </w:r>
      <w:r>
        <w:rPr/>
        <w:t>dampak</w:t>
      </w:r>
      <w:r>
        <w:rPr>
          <w:spacing w:val="40"/>
        </w:rPr>
        <w:t> </w:t>
      </w:r>
      <w:r>
        <w:rPr/>
        <w:t>dari</w:t>
      </w:r>
      <w:r>
        <w:rPr>
          <w:spacing w:val="40"/>
        </w:rPr>
        <w:t> </w:t>
      </w:r>
      <w:r>
        <w:rPr/>
        <w:t>bergabungnya</w:t>
      </w:r>
      <w:r>
        <w:rPr>
          <w:spacing w:val="40"/>
        </w:rPr>
        <w:t> </w:t>
      </w:r>
      <w:r>
        <w:rPr/>
        <w:t>enam</w:t>
      </w:r>
      <w:r>
        <w:rPr>
          <w:spacing w:val="40"/>
        </w:rPr>
        <w:t> </w:t>
      </w:r>
      <w:r>
        <w:rPr/>
        <w:t>wilayah kecamatan ke wilayah IKN, dapat diidentifikasi baik dampak langsung maupun dampak tidak langsung. Adapun dampak langsung terhadap pendapatan</w:t>
      </w:r>
      <w:r>
        <w:rPr>
          <w:spacing w:val="40"/>
        </w:rPr>
        <w:t> </w:t>
      </w:r>
      <w:r>
        <w:rPr/>
        <w:t>daerah</w:t>
      </w:r>
      <w:r>
        <w:rPr>
          <w:spacing w:val="40"/>
        </w:rPr>
        <w:t> </w:t>
      </w:r>
      <w:r>
        <w:rPr/>
        <w:t>dari</w:t>
      </w:r>
      <w:r>
        <w:rPr>
          <w:spacing w:val="40"/>
        </w:rPr>
        <w:t> </w:t>
      </w:r>
      <w:r>
        <w:rPr/>
        <w:t>hilangnya</w:t>
      </w:r>
      <w:r>
        <w:rPr>
          <w:spacing w:val="40"/>
        </w:rPr>
        <w:t> </w:t>
      </w:r>
      <w:r>
        <w:rPr/>
        <w:t>Kecamatan</w:t>
      </w:r>
      <w:r>
        <w:rPr>
          <w:spacing w:val="40"/>
        </w:rPr>
        <w:t> </w:t>
      </w:r>
      <w:r>
        <w:rPr/>
        <w:t>Samboja,</w:t>
      </w:r>
      <w:r>
        <w:rPr>
          <w:spacing w:val="40"/>
        </w:rPr>
        <w:t> </w:t>
      </w:r>
      <w:r>
        <w:rPr/>
        <w:t>Kecamatan Samboja Barat, sebagian Kecamatan Muara Jawa, sebagian Kecamatan Loa</w:t>
      </w:r>
      <w:r>
        <w:rPr>
          <w:spacing w:val="40"/>
        </w:rPr>
        <w:t> </w:t>
      </w:r>
      <w:r>
        <w:rPr/>
        <w:t>Janan,</w:t>
      </w:r>
      <w:r>
        <w:rPr>
          <w:spacing w:val="40"/>
        </w:rPr>
        <w:t> </w:t>
      </w:r>
      <w:r>
        <w:rPr/>
        <w:t>sebagian</w:t>
      </w:r>
      <w:r>
        <w:rPr>
          <w:spacing w:val="40"/>
        </w:rPr>
        <w:t> </w:t>
      </w:r>
      <w:r>
        <w:rPr/>
        <w:t>Kecamatan</w:t>
      </w:r>
      <w:r>
        <w:rPr>
          <w:spacing w:val="40"/>
        </w:rPr>
        <w:t> </w:t>
      </w:r>
      <w:r>
        <w:rPr/>
        <w:t>Loa</w:t>
      </w:r>
      <w:r>
        <w:rPr>
          <w:spacing w:val="40"/>
        </w:rPr>
        <w:t> </w:t>
      </w:r>
      <w:r>
        <w:rPr/>
        <w:t>Kulu,</w:t>
      </w:r>
      <w:r>
        <w:rPr>
          <w:spacing w:val="40"/>
        </w:rPr>
        <w:t> </w:t>
      </w:r>
      <w:r>
        <w:rPr/>
        <w:t>dan</w:t>
      </w:r>
      <w:r>
        <w:rPr>
          <w:spacing w:val="40"/>
        </w:rPr>
        <w:t> </w:t>
      </w:r>
      <w:r>
        <w:rPr/>
        <w:t>sebagian</w:t>
      </w:r>
      <w:r>
        <w:rPr>
          <w:spacing w:val="40"/>
        </w:rPr>
        <w:t> </w:t>
      </w:r>
      <w:r>
        <w:rPr/>
        <w:t>Kecamatan Sanga-Sanga;</w:t>
      </w:r>
      <w:r>
        <w:rPr>
          <w:spacing w:val="-17"/>
        </w:rPr>
        <w:t> </w:t>
      </w:r>
      <w:r>
        <w:rPr/>
        <w:t>dan</w:t>
      </w:r>
      <w:r>
        <w:rPr>
          <w:spacing w:val="-16"/>
        </w:rPr>
        <w:t> </w:t>
      </w:r>
      <w:r>
        <w:rPr/>
        <w:t>dampak</w:t>
      </w:r>
      <w:r>
        <w:rPr>
          <w:spacing w:val="-17"/>
        </w:rPr>
        <w:t> </w:t>
      </w:r>
      <w:r>
        <w:rPr/>
        <w:t>langsung</w:t>
      </w:r>
      <w:r>
        <w:rPr>
          <w:spacing w:val="-16"/>
        </w:rPr>
        <w:t> </w:t>
      </w:r>
      <w:r>
        <w:rPr/>
        <w:t>terhadap</w:t>
      </w:r>
      <w:r>
        <w:rPr>
          <w:spacing w:val="-17"/>
        </w:rPr>
        <w:t> </w:t>
      </w:r>
      <w:r>
        <w:rPr/>
        <w:t>PAD</w:t>
      </w:r>
      <w:r>
        <w:rPr>
          <w:spacing w:val="-16"/>
        </w:rPr>
        <w:t> </w:t>
      </w:r>
      <w:r>
        <w:rPr/>
        <w:t>akibat</w:t>
      </w:r>
      <w:r>
        <w:rPr>
          <w:spacing w:val="-17"/>
        </w:rPr>
        <w:t> </w:t>
      </w:r>
      <w:r>
        <w:rPr/>
        <w:t>dari</w:t>
      </w:r>
      <w:r>
        <w:rPr>
          <w:spacing w:val="-16"/>
        </w:rPr>
        <w:t> </w:t>
      </w:r>
      <w:r>
        <w:rPr/>
        <w:t>terjadinya kontraksi</w:t>
      </w:r>
      <w:r>
        <w:rPr>
          <w:spacing w:val="40"/>
        </w:rPr>
        <w:t> </w:t>
      </w:r>
      <w:r>
        <w:rPr/>
        <w:t>dari</w:t>
      </w:r>
      <w:r>
        <w:rPr>
          <w:spacing w:val="40"/>
        </w:rPr>
        <w:t> </w:t>
      </w:r>
      <w:r>
        <w:rPr/>
        <w:t>pengeluaran</w:t>
      </w:r>
      <w:r>
        <w:rPr>
          <w:spacing w:val="40"/>
        </w:rPr>
        <w:t> </w:t>
      </w:r>
      <w:r>
        <w:rPr/>
        <w:t>pemerintah</w:t>
      </w:r>
      <w:r>
        <w:rPr>
          <w:spacing w:val="40"/>
        </w:rPr>
        <w:t> </w:t>
      </w:r>
      <w:r>
        <w:rPr/>
        <w:t>Kabupaten</w:t>
      </w:r>
      <w:r>
        <w:rPr>
          <w:spacing w:val="40"/>
        </w:rPr>
        <w:t> </w:t>
      </w:r>
      <w:r>
        <w:rPr/>
        <w:t>Kutai</w:t>
      </w:r>
      <w:r>
        <w:rPr>
          <w:spacing w:val="40"/>
        </w:rPr>
        <w:t> </w:t>
      </w:r>
      <w:r>
        <w:rPr/>
        <w:t>Kartanegara (</w:t>
      </w:r>
      <w:r>
        <w:rPr>
          <w:i/>
        </w:rPr>
        <w:t>contractinary</w:t>
      </w:r>
      <w:r>
        <w:rPr>
          <w:i/>
          <w:spacing w:val="40"/>
        </w:rPr>
        <w:t> </w:t>
      </w:r>
      <w:r>
        <w:rPr>
          <w:i/>
        </w:rPr>
        <w:t>fiscal</w:t>
      </w:r>
      <w:r>
        <w:rPr>
          <w:i/>
          <w:spacing w:val="40"/>
        </w:rPr>
        <w:t> </w:t>
      </w:r>
      <w:r>
        <w:rPr>
          <w:i/>
        </w:rPr>
        <w:t>policy</w:t>
      </w:r>
      <w:r>
        <w:rPr/>
        <w:t>).</w:t>
      </w:r>
      <w:r>
        <w:rPr>
          <w:spacing w:val="40"/>
        </w:rPr>
        <w:t> </w:t>
      </w:r>
      <w:r>
        <w:rPr/>
        <w:t>Sedangkan</w:t>
      </w:r>
      <w:r>
        <w:rPr>
          <w:spacing w:val="40"/>
        </w:rPr>
        <w:t> </w:t>
      </w:r>
      <w:r>
        <w:rPr/>
        <w:t>dampak</w:t>
      </w:r>
      <w:r>
        <w:rPr>
          <w:spacing w:val="40"/>
        </w:rPr>
        <w:t> </w:t>
      </w:r>
      <w:r>
        <w:rPr/>
        <w:t>tidak</w:t>
      </w:r>
      <w:r>
        <w:rPr>
          <w:spacing w:val="40"/>
        </w:rPr>
        <w:t> </w:t>
      </w:r>
      <w:r>
        <w:rPr/>
        <w:t>langsung</w:t>
      </w:r>
      <w:r>
        <w:rPr>
          <w:spacing w:val="40"/>
        </w:rPr>
        <w:t> </w:t>
      </w:r>
      <w:r>
        <w:rPr/>
        <w:t>yang berasal</w:t>
      </w:r>
      <w:r>
        <w:rPr>
          <w:spacing w:val="-14"/>
        </w:rPr>
        <w:t> </w:t>
      </w:r>
      <w:r>
        <w:rPr/>
        <w:t>dari</w:t>
      </w:r>
      <w:r>
        <w:rPr>
          <w:spacing w:val="-9"/>
        </w:rPr>
        <w:t> </w:t>
      </w:r>
      <w:r>
        <w:rPr/>
        <w:t>dinamika</w:t>
      </w:r>
      <w:r>
        <w:rPr>
          <w:spacing w:val="-14"/>
        </w:rPr>
        <w:t> </w:t>
      </w:r>
      <w:r>
        <w:rPr/>
        <w:t>ekonomi</w:t>
      </w:r>
      <w:r>
        <w:rPr>
          <w:spacing w:val="-14"/>
        </w:rPr>
        <w:t> </w:t>
      </w:r>
      <w:r>
        <w:rPr/>
        <w:t>wilayah</w:t>
      </w:r>
      <w:r>
        <w:rPr>
          <w:spacing w:val="-15"/>
        </w:rPr>
        <w:t> </w:t>
      </w:r>
      <w:r>
        <w:rPr/>
        <w:t>sekitarnya</w:t>
      </w:r>
      <w:r>
        <w:rPr>
          <w:spacing w:val="-15"/>
        </w:rPr>
        <w:t> </w:t>
      </w:r>
      <w:r>
        <w:rPr/>
        <w:t>(n</w:t>
      </w:r>
      <w:r>
        <w:rPr>
          <w:i/>
        </w:rPr>
        <w:t>eighborhood</w:t>
      </w:r>
      <w:r>
        <w:rPr>
          <w:i/>
          <w:spacing w:val="-12"/>
        </w:rPr>
        <w:t> </w:t>
      </w:r>
      <w:r>
        <w:rPr>
          <w:i/>
        </w:rPr>
        <w:t>effects</w:t>
      </w:r>
      <w:r>
        <w:rPr/>
        <w:t>). Selain</w:t>
      </w:r>
      <w:r>
        <w:rPr>
          <w:spacing w:val="40"/>
        </w:rPr>
        <w:t> </w:t>
      </w:r>
      <w:r>
        <w:rPr/>
        <w:t>melihat</w:t>
      </w:r>
      <w:r>
        <w:rPr>
          <w:spacing w:val="40"/>
        </w:rPr>
        <w:t> </w:t>
      </w:r>
      <w:r>
        <w:rPr/>
        <w:t>dampak</w:t>
      </w:r>
      <w:r>
        <w:rPr>
          <w:spacing w:val="40"/>
        </w:rPr>
        <w:t> </w:t>
      </w:r>
      <w:r>
        <w:rPr/>
        <w:t>IKN</w:t>
      </w:r>
      <w:r>
        <w:rPr>
          <w:spacing w:val="40"/>
        </w:rPr>
        <w:t> </w:t>
      </w:r>
      <w:r>
        <w:rPr/>
        <w:t>terhadap</w:t>
      </w:r>
      <w:r>
        <w:rPr>
          <w:spacing w:val="40"/>
        </w:rPr>
        <w:t> </w:t>
      </w:r>
      <w:r>
        <w:rPr/>
        <w:t>ekonomi</w:t>
      </w:r>
      <w:r>
        <w:rPr>
          <w:spacing w:val="40"/>
        </w:rPr>
        <w:t> </w:t>
      </w:r>
      <w:r>
        <w:rPr/>
        <w:t>(pendapatan</w:t>
      </w:r>
      <w:r>
        <w:rPr>
          <w:spacing w:val="40"/>
        </w:rPr>
        <w:t> </w:t>
      </w:r>
      <w:r>
        <w:rPr/>
        <w:t>dan pengeluaran)</w:t>
      </w:r>
      <w:r>
        <w:rPr>
          <w:spacing w:val="-4"/>
        </w:rPr>
        <w:t> </w:t>
      </w:r>
      <w:r>
        <w:rPr/>
        <w:t>Kabupaten</w:t>
      </w:r>
      <w:r>
        <w:rPr>
          <w:spacing w:val="-5"/>
        </w:rPr>
        <w:t> </w:t>
      </w:r>
      <w:r>
        <w:rPr/>
        <w:t>Kutai</w:t>
      </w:r>
      <w:r>
        <w:rPr>
          <w:spacing w:val="-4"/>
        </w:rPr>
        <w:t> </w:t>
      </w:r>
      <w:r>
        <w:rPr/>
        <w:t>Kartanegara,</w:t>
      </w:r>
      <w:r>
        <w:rPr>
          <w:spacing w:val="-3"/>
        </w:rPr>
        <w:t> </w:t>
      </w:r>
      <w:r>
        <w:rPr/>
        <w:t>penelitian</w:t>
      </w:r>
      <w:r>
        <w:rPr>
          <w:spacing w:val="-5"/>
        </w:rPr>
        <w:t> </w:t>
      </w:r>
      <w:r>
        <w:rPr/>
        <w:t>ini</w:t>
      </w:r>
      <w:r>
        <w:rPr>
          <w:spacing w:val="-4"/>
        </w:rPr>
        <w:t> </w:t>
      </w:r>
      <w:r>
        <w:rPr/>
        <w:t>juga</w:t>
      </w:r>
      <w:r>
        <w:rPr>
          <w:spacing w:val="-5"/>
        </w:rPr>
        <w:t> </w:t>
      </w:r>
      <w:r>
        <w:rPr/>
        <w:t>berusaha menampilkan</w:t>
      </w:r>
      <w:r>
        <w:rPr>
          <w:spacing w:val="40"/>
        </w:rPr>
        <w:t> </w:t>
      </w:r>
      <w:r>
        <w:rPr/>
        <w:t>hasil</w:t>
      </w:r>
      <w:r>
        <w:rPr>
          <w:spacing w:val="40"/>
        </w:rPr>
        <w:t> </w:t>
      </w:r>
      <w:r>
        <w:rPr/>
        <w:t>analisis</w:t>
      </w:r>
      <w:r>
        <w:rPr>
          <w:spacing w:val="40"/>
        </w:rPr>
        <w:t> </w:t>
      </w:r>
      <w:r>
        <w:rPr/>
        <w:t>dampak</w:t>
      </w:r>
      <w:r>
        <w:rPr>
          <w:spacing w:val="40"/>
        </w:rPr>
        <w:t> </w:t>
      </w:r>
      <w:r>
        <w:rPr/>
        <w:t>terhadap</w:t>
      </w:r>
      <w:r>
        <w:rPr>
          <w:spacing w:val="40"/>
        </w:rPr>
        <w:t> </w:t>
      </w:r>
      <w:r>
        <w:rPr/>
        <w:t>aspek</w:t>
      </w:r>
      <w:r>
        <w:rPr>
          <w:spacing w:val="40"/>
        </w:rPr>
        <w:t> </w:t>
      </w:r>
      <w:r>
        <w:rPr>
          <w:b/>
        </w:rPr>
        <w:t>P</w:t>
      </w:r>
      <w:r>
        <w:rPr/>
        <w:t>olitik,</w:t>
      </w:r>
      <w:r>
        <w:rPr>
          <w:spacing w:val="40"/>
        </w:rPr>
        <w:t> </w:t>
      </w:r>
      <w:r>
        <w:rPr>
          <w:b/>
        </w:rPr>
        <w:t>E</w:t>
      </w:r>
      <w:r>
        <w:rPr/>
        <w:t>konomi, </w:t>
      </w:r>
      <w:r>
        <w:rPr>
          <w:b/>
          <w:spacing w:val="-2"/>
        </w:rPr>
        <w:t>S</w:t>
      </w:r>
      <w:r>
        <w:rPr>
          <w:spacing w:val="-2"/>
        </w:rPr>
        <w:t>osial,</w:t>
      </w:r>
      <w:r>
        <w:rPr/>
        <w:tab/>
      </w:r>
      <w:r>
        <w:rPr>
          <w:b/>
          <w:spacing w:val="-2"/>
        </w:rPr>
        <w:t>T</w:t>
      </w:r>
      <w:r>
        <w:rPr>
          <w:spacing w:val="-2"/>
        </w:rPr>
        <w:t>eknologi,</w:t>
      </w:r>
      <w:r>
        <w:rPr/>
        <w:tab/>
        <w:tab/>
      </w:r>
      <w:r>
        <w:rPr>
          <w:b/>
          <w:spacing w:val="-2"/>
        </w:rPr>
        <w:t>E</w:t>
      </w:r>
      <w:r>
        <w:rPr>
          <w:spacing w:val="-2"/>
        </w:rPr>
        <w:t>nvironment</w:t>
      </w:r>
      <w:r>
        <w:rPr/>
        <w:tab/>
      </w:r>
      <w:r>
        <w:rPr>
          <w:spacing w:val="-2"/>
        </w:rPr>
        <w:t>(Lingkungan),</w:t>
      </w:r>
      <w:r>
        <w:rPr/>
        <w:tab/>
      </w:r>
      <w:r>
        <w:rPr>
          <w:spacing w:val="-4"/>
        </w:rPr>
        <w:t>dan</w:t>
      </w:r>
      <w:r>
        <w:rPr/>
        <w:tab/>
        <w:tab/>
      </w:r>
      <w:r>
        <w:rPr>
          <w:b/>
          <w:spacing w:val="-4"/>
        </w:rPr>
        <w:t>L</w:t>
      </w:r>
      <w:r>
        <w:rPr>
          <w:spacing w:val="-4"/>
        </w:rPr>
        <w:t>aw </w:t>
      </w:r>
      <w:r>
        <w:rPr>
          <w:spacing w:val="-2"/>
        </w:rPr>
        <w:t>(hukum/peraturan)</w:t>
      </w:r>
      <w:r>
        <w:rPr/>
        <w:tab/>
      </w:r>
      <w:r>
        <w:rPr>
          <w:spacing w:val="-4"/>
        </w:rPr>
        <w:t>atau</w:t>
      </w:r>
      <w:r>
        <w:rPr/>
        <w:tab/>
        <w:tab/>
      </w:r>
      <w:r>
        <w:rPr>
          <w:spacing w:val="-4"/>
        </w:rPr>
        <w:t>biasa</w:t>
      </w:r>
      <w:r>
        <w:rPr/>
        <w:tab/>
      </w:r>
      <w:r>
        <w:rPr>
          <w:spacing w:val="-2"/>
        </w:rPr>
        <w:t>disingkat</w:t>
      </w:r>
      <w:r>
        <w:rPr/>
        <w:tab/>
      </w:r>
      <w:r>
        <w:rPr>
          <w:spacing w:val="-2"/>
        </w:rPr>
        <w:t>dengan</w:t>
      </w:r>
      <w:r>
        <w:rPr/>
        <w:tab/>
      </w:r>
      <w:r>
        <w:rPr>
          <w:spacing w:val="-2"/>
        </w:rPr>
        <w:t>PESTEL.</w:t>
      </w:r>
      <w:r>
        <w:rPr/>
        <w:tab/>
      </w:r>
      <w:r>
        <w:rPr>
          <w:spacing w:val="-4"/>
        </w:rPr>
        <w:t>Hal</w:t>
      </w:r>
      <w:r>
        <w:rPr/>
        <w:tab/>
        <w:tab/>
      </w:r>
      <w:r>
        <w:rPr>
          <w:spacing w:val="-4"/>
        </w:rPr>
        <w:t>ini </w:t>
      </w:r>
      <w:r>
        <w:rPr/>
        <w:t>dimaksudkan</w:t>
      </w:r>
      <w:r>
        <w:rPr>
          <w:spacing w:val="40"/>
        </w:rPr>
        <w:t> </w:t>
      </w:r>
      <w:r>
        <w:rPr/>
        <w:t>untuk</w:t>
      </w:r>
      <w:r>
        <w:rPr>
          <w:spacing w:val="40"/>
        </w:rPr>
        <w:t> </w:t>
      </w:r>
      <w:r>
        <w:rPr/>
        <w:t>memberikan</w:t>
      </w:r>
      <w:r>
        <w:rPr>
          <w:spacing w:val="40"/>
        </w:rPr>
        <w:t> </w:t>
      </w:r>
      <w:r>
        <w:rPr/>
        <w:t>gambaran</w:t>
      </w:r>
      <w:r>
        <w:rPr>
          <w:spacing w:val="40"/>
        </w:rPr>
        <w:t> </w:t>
      </w:r>
      <w:r>
        <w:rPr/>
        <w:t>baik</w:t>
      </w:r>
      <w:r>
        <w:rPr>
          <w:spacing w:val="40"/>
        </w:rPr>
        <w:t> </w:t>
      </w:r>
      <w:r>
        <w:rPr/>
        <w:t>kepada</w:t>
      </w:r>
      <w:r>
        <w:rPr>
          <w:spacing w:val="40"/>
        </w:rPr>
        <w:t> </w:t>
      </w:r>
      <w:r>
        <w:rPr/>
        <w:t>Pemerintah Daerah</w:t>
      </w:r>
      <w:r>
        <w:rPr>
          <w:spacing w:val="40"/>
        </w:rPr>
        <w:t> </w:t>
      </w:r>
      <w:r>
        <w:rPr/>
        <w:t>Kabupaten</w:t>
      </w:r>
      <w:r>
        <w:rPr>
          <w:spacing w:val="40"/>
        </w:rPr>
        <w:t> </w:t>
      </w:r>
      <w:r>
        <w:rPr/>
        <w:t>Kutai</w:t>
      </w:r>
      <w:r>
        <w:rPr>
          <w:spacing w:val="40"/>
        </w:rPr>
        <w:t> </w:t>
      </w:r>
      <w:r>
        <w:rPr/>
        <w:t>Kartanegara</w:t>
      </w:r>
      <w:r>
        <w:rPr>
          <w:spacing w:val="40"/>
        </w:rPr>
        <w:t> </w:t>
      </w:r>
      <w:r>
        <w:rPr/>
        <w:t>juga</w:t>
      </w:r>
      <w:r>
        <w:rPr>
          <w:spacing w:val="40"/>
        </w:rPr>
        <w:t> </w:t>
      </w:r>
      <w:r>
        <w:rPr/>
        <w:t>kepada</w:t>
      </w:r>
      <w:r>
        <w:rPr>
          <w:spacing w:val="40"/>
        </w:rPr>
        <w:t> </w:t>
      </w:r>
      <w:r>
        <w:rPr/>
        <w:t>Pemerintah</w:t>
      </w:r>
      <w:r>
        <w:rPr>
          <w:spacing w:val="40"/>
        </w:rPr>
        <w:t> </w:t>
      </w:r>
      <w:r>
        <w:rPr/>
        <w:t>Pusat terkait situasi yang akan dihadapi Kabupaten Kutai Kartanegara akibat kehadiran IKN. Harapannya, selain Pemerintah Daerah Kabupaten Kutai Kartanegara</w:t>
      </w:r>
      <w:r>
        <w:rPr>
          <w:spacing w:val="40"/>
        </w:rPr>
        <w:t> </w:t>
      </w:r>
      <w:r>
        <w:rPr/>
        <w:t>siap</w:t>
      </w:r>
      <w:r>
        <w:rPr>
          <w:spacing w:val="40"/>
        </w:rPr>
        <w:t> </w:t>
      </w:r>
      <w:r>
        <w:rPr/>
        <w:t>merespon</w:t>
      </w:r>
      <w:r>
        <w:rPr>
          <w:spacing w:val="40"/>
        </w:rPr>
        <w:t> </w:t>
      </w:r>
      <w:r>
        <w:rPr/>
        <w:t>perubahan</w:t>
      </w:r>
      <w:r>
        <w:rPr>
          <w:spacing w:val="40"/>
        </w:rPr>
        <w:t> </w:t>
      </w:r>
      <w:r>
        <w:rPr/>
        <w:t>daerahnya,</w:t>
      </w:r>
      <w:r>
        <w:rPr>
          <w:spacing w:val="40"/>
        </w:rPr>
        <w:t> </w:t>
      </w:r>
      <w:r>
        <w:rPr/>
        <w:t>juga</w:t>
      </w:r>
      <w:r>
        <w:rPr>
          <w:spacing w:val="40"/>
        </w:rPr>
        <w:t> </w:t>
      </w:r>
      <w:r>
        <w:rPr/>
        <w:t>Pemerintah Pusat dapat</w:t>
      </w:r>
      <w:r>
        <w:rPr>
          <w:spacing w:val="2"/>
        </w:rPr>
        <w:t> </w:t>
      </w:r>
      <w:r>
        <w:rPr/>
        <w:t>memberikan</w:t>
      </w:r>
      <w:r>
        <w:rPr>
          <w:spacing w:val="1"/>
        </w:rPr>
        <w:t> </w:t>
      </w:r>
      <w:r>
        <w:rPr/>
        <w:t>perhatian khusus</w:t>
      </w:r>
      <w:r>
        <w:rPr>
          <w:spacing w:val="1"/>
        </w:rPr>
        <w:t> </w:t>
      </w:r>
      <w:r>
        <w:rPr/>
        <w:t>terhadap beberapa hal</w:t>
      </w:r>
      <w:r>
        <w:rPr>
          <w:spacing w:val="2"/>
        </w:rPr>
        <w:t> </w:t>
      </w:r>
      <w:r>
        <w:rPr>
          <w:spacing w:val="-4"/>
        </w:rPr>
        <w:t>yang</w:t>
      </w:r>
    </w:p>
    <w:p>
      <w:pPr>
        <w:pStyle w:val="BodyText"/>
        <w:spacing w:before="8"/>
        <w:ind w:left="854"/>
        <w:jc w:val="left"/>
      </w:pPr>
      <w:r>
        <w:rPr/>
        <w:t>menjadi</w:t>
      </w:r>
      <w:r>
        <w:rPr>
          <w:spacing w:val="-6"/>
        </w:rPr>
        <w:t> </w:t>
      </w:r>
      <w:r>
        <w:rPr/>
        <w:t>kewenangan</w:t>
      </w:r>
      <w:r>
        <w:rPr>
          <w:spacing w:val="-6"/>
        </w:rPr>
        <w:t> </w:t>
      </w:r>
      <w:r>
        <w:rPr/>
        <w:t>Pemerintah</w:t>
      </w:r>
      <w:r>
        <w:rPr>
          <w:spacing w:val="-10"/>
        </w:rPr>
        <w:t> </w:t>
      </w:r>
      <w:r>
        <w:rPr>
          <w:spacing w:val="-2"/>
        </w:rPr>
        <w:t>Pusat.</w:t>
      </w:r>
    </w:p>
    <w:p>
      <w:pPr>
        <w:pStyle w:val="BodyText"/>
        <w:jc w:val="left"/>
      </w:pPr>
    </w:p>
    <w:p>
      <w:pPr>
        <w:pStyle w:val="BodyText"/>
        <w:spacing w:before="128"/>
        <w:jc w:val="left"/>
      </w:pPr>
    </w:p>
    <w:p>
      <w:pPr>
        <w:pStyle w:val="Heading2"/>
        <w:numPr>
          <w:ilvl w:val="1"/>
          <w:numId w:val="25"/>
        </w:numPr>
        <w:tabs>
          <w:tab w:pos="977" w:val="left" w:leader="none"/>
        </w:tabs>
        <w:spacing w:line="240" w:lineRule="auto" w:before="0" w:after="0"/>
        <w:ind w:left="977" w:right="0" w:hanging="411"/>
        <w:jc w:val="left"/>
      </w:pPr>
      <w:bookmarkStart w:name="_bookmark27" w:id="28"/>
      <w:bookmarkEnd w:id="28"/>
      <w:r>
        <w:rPr>
          <w:b w:val="0"/>
        </w:rPr>
      </w:r>
      <w:r>
        <w:rPr>
          <w:spacing w:val="-2"/>
        </w:rPr>
        <w:t>Keluaran/Output</w:t>
      </w:r>
    </w:p>
    <w:p>
      <w:pPr>
        <w:pStyle w:val="BodyText"/>
        <w:spacing w:line="357" w:lineRule="auto" w:before="223"/>
        <w:ind w:left="854" w:firstLine="619"/>
        <w:jc w:val="left"/>
      </w:pPr>
      <w:r>
        <w:rPr/>
        <w:t>Keluaran</w:t>
      </w:r>
      <w:r>
        <w:rPr>
          <w:spacing w:val="80"/>
        </w:rPr>
        <w:t> </w:t>
      </w:r>
      <w:r>
        <w:rPr/>
        <w:t>yang</w:t>
      </w:r>
      <w:r>
        <w:rPr>
          <w:spacing w:val="80"/>
        </w:rPr>
        <w:t> </w:t>
      </w:r>
      <w:r>
        <w:rPr/>
        <w:t>diharapkan</w:t>
      </w:r>
      <w:r>
        <w:rPr>
          <w:spacing w:val="80"/>
        </w:rPr>
        <w:t> </w:t>
      </w:r>
      <w:r>
        <w:rPr/>
        <w:t>dari</w:t>
      </w:r>
      <w:r>
        <w:rPr>
          <w:spacing w:val="80"/>
        </w:rPr>
        <w:t> </w:t>
      </w:r>
      <w:r>
        <w:rPr/>
        <w:t>penelitian</w:t>
      </w:r>
      <w:r>
        <w:rPr>
          <w:spacing w:val="80"/>
        </w:rPr>
        <w:t> </w:t>
      </w:r>
      <w:r>
        <w:rPr/>
        <w:t>ini</w:t>
      </w:r>
      <w:r>
        <w:rPr>
          <w:spacing w:val="80"/>
        </w:rPr>
        <w:t> </w:t>
      </w:r>
      <w:r>
        <w:rPr/>
        <w:t>adalah</w:t>
      </w:r>
      <w:r>
        <w:rPr>
          <w:spacing w:val="80"/>
        </w:rPr>
        <w:t> </w:t>
      </w:r>
      <w:r>
        <w:rPr/>
        <w:t>laporan penelitian</w:t>
      </w:r>
      <w:r>
        <w:rPr>
          <w:spacing w:val="50"/>
        </w:rPr>
        <w:t> </w:t>
      </w:r>
      <w:r>
        <w:rPr/>
        <w:t>terkait</w:t>
      </w:r>
      <w:r>
        <w:rPr>
          <w:spacing w:val="54"/>
        </w:rPr>
        <w:t> </w:t>
      </w:r>
      <w:r>
        <w:rPr/>
        <w:t>Dampak</w:t>
      </w:r>
      <w:r>
        <w:rPr>
          <w:spacing w:val="55"/>
        </w:rPr>
        <w:t> </w:t>
      </w:r>
      <w:r>
        <w:rPr/>
        <w:t>Keberadaan</w:t>
      </w:r>
      <w:r>
        <w:rPr>
          <w:spacing w:val="59"/>
        </w:rPr>
        <w:t> </w:t>
      </w:r>
      <w:r>
        <w:rPr/>
        <w:t>Ibu</w:t>
      </w:r>
      <w:r>
        <w:rPr>
          <w:spacing w:val="57"/>
        </w:rPr>
        <w:t> </w:t>
      </w:r>
      <w:r>
        <w:rPr/>
        <w:t>Kota</w:t>
      </w:r>
      <w:r>
        <w:rPr>
          <w:spacing w:val="52"/>
        </w:rPr>
        <w:t> </w:t>
      </w:r>
      <w:r>
        <w:rPr/>
        <w:t>Nusantara</w:t>
      </w:r>
      <w:r>
        <w:rPr>
          <w:spacing w:val="53"/>
        </w:rPr>
        <w:t> </w:t>
      </w:r>
      <w:r>
        <w:rPr>
          <w:spacing w:val="-2"/>
        </w:rPr>
        <w:t>Terhadap</w:t>
      </w:r>
    </w:p>
    <w:p>
      <w:pPr>
        <w:pStyle w:val="BodyText"/>
        <w:spacing w:after="0" w:line="357" w:lineRule="auto"/>
        <w:jc w:val="left"/>
        <w:sectPr>
          <w:pgSz w:w="11910" w:h="16840"/>
          <w:pgMar w:header="0" w:footer="1186" w:top="1580" w:bottom="1380" w:left="1700" w:right="992"/>
        </w:sectPr>
      </w:pPr>
    </w:p>
    <w:p>
      <w:pPr>
        <w:pStyle w:val="BodyText"/>
        <w:spacing w:line="360" w:lineRule="auto" w:before="82"/>
        <w:ind w:left="854" w:right="701"/>
      </w:pPr>
      <w:r>
        <w:rPr/>
        <w:t>Potensi Pendapatan dan Pengeluaran Daerah Kabupaten Kutai Kartanegara,</w:t>
      </w:r>
      <w:r>
        <w:rPr>
          <w:spacing w:val="-15"/>
        </w:rPr>
        <w:t> </w:t>
      </w:r>
      <w:r>
        <w:rPr/>
        <w:t>termasuk</w:t>
      </w:r>
      <w:r>
        <w:rPr>
          <w:spacing w:val="-15"/>
        </w:rPr>
        <w:t> </w:t>
      </w:r>
      <w:r>
        <w:rPr/>
        <w:t>rekomendasi</w:t>
      </w:r>
      <w:r>
        <w:rPr>
          <w:spacing w:val="-16"/>
        </w:rPr>
        <w:t> </w:t>
      </w:r>
      <w:r>
        <w:rPr/>
        <w:t>kebijakan</w:t>
      </w:r>
      <w:r>
        <w:rPr>
          <w:spacing w:val="-12"/>
        </w:rPr>
        <w:t> </w:t>
      </w:r>
      <w:r>
        <w:rPr/>
        <w:t>dan</w:t>
      </w:r>
      <w:r>
        <w:rPr>
          <w:spacing w:val="-17"/>
        </w:rPr>
        <w:t> </w:t>
      </w:r>
      <w:r>
        <w:rPr/>
        <w:t>strategi</w:t>
      </w:r>
      <w:r>
        <w:rPr>
          <w:spacing w:val="-15"/>
        </w:rPr>
        <w:t> </w:t>
      </w:r>
      <w:r>
        <w:rPr/>
        <w:t>mendapatkan konsesi</w:t>
      </w:r>
      <w:r>
        <w:rPr>
          <w:spacing w:val="-3"/>
        </w:rPr>
        <w:t> </w:t>
      </w:r>
      <w:r>
        <w:rPr/>
        <w:t>terhadap</w:t>
      </w:r>
      <w:r>
        <w:rPr>
          <w:spacing w:val="-4"/>
        </w:rPr>
        <w:t> </w:t>
      </w:r>
      <w:r>
        <w:rPr/>
        <w:t>pendapatan</w:t>
      </w:r>
      <w:r>
        <w:rPr>
          <w:spacing w:val="-4"/>
        </w:rPr>
        <w:t> </w:t>
      </w:r>
      <w:r>
        <w:rPr/>
        <w:t>daerah</w:t>
      </w:r>
      <w:r>
        <w:rPr>
          <w:spacing w:val="-4"/>
        </w:rPr>
        <w:t> </w:t>
      </w:r>
      <w:r>
        <w:rPr/>
        <w:t>yang</w:t>
      </w:r>
      <w:r>
        <w:rPr>
          <w:spacing w:val="-4"/>
        </w:rPr>
        <w:t> </w:t>
      </w:r>
      <w:r>
        <w:rPr/>
        <w:t>hilang dari</w:t>
      </w:r>
      <w:r>
        <w:rPr>
          <w:spacing w:val="-3"/>
        </w:rPr>
        <w:t> </w:t>
      </w:r>
      <w:r>
        <w:rPr/>
        <w:t>DBH minerba</w:t>
      </w:r>
      <w:r>
        <w:rPr>
          <w:spacing w:val="-4"/>
        </w:rPr>
        <w:t> </w:t>
      </w:r>
      <w:r>
        <w:rPr/>
        <w:t>dan </w:t>
      </w:r>
      <w:r>
        <w:rPr>
          <w:spacing w:val="-2"/>
        </w:rPr>
        <w:t>migas.</w:t>
      </w:r>
    </w:p>
    <w:p>
      <w:pPr>
        <w:pStyle w:val="BodyText"/>
        <w:spacing w:before="291"/>
        <w:jc w:val="left"/>
      </w:pPr>
    </w:p>
    <w:p>
      <w:pPr>
        <w:pStyle w:val="Heading2"/>
        <w:numPr>
          <w:ilvl w:val="1"/>
          <w:numId w:val="25"/>
        </w:numPr>
        <w:tabs>
          <w:tab w:pos="977" w:val="left" w:leader="none"/>
        </w:tabs>
        <w:spacing w:line="240" w:lineRule="auto" w:before="0" w:after="0"/>
        <w:ind w:left="977" w:right="0" w:hanging="411"/>
        <w:jc w:val="left"/>
      </w:pPr>
      <w:bookmarkStart w:name="_bookmark28" w:id="29"/>
      <w:bookmarkEnd w:id="29"/>
      <w:r>
        <w:rPr>
          <w:b w:val="0"/>
        </w:rPr>
      </w:r>
      <w:r>
        <w:rPr/>
        <w:t>Waktu</w:t>
      </w:r>
      <w:r>
        <w:rPr>
          <w:spacing w:val="-9"/>
        </w:rPr>
        <w:t> </w:t>
      </w:r>
      <w:r>
        <w:rPr/>
        <w:t>Pelaksanaan</w:t>
      </w:r>
      <w:r>
        <w:rPr>
          <w:spacing w:val="-8"/>
        </w:rPr>
        <w:t> </w:t>
      </w:r>
      <w:r>
        <w:rPr/>
        <w:t>dan</w:t>
      </w:r>
      <w:r>
        <w:rPr>
          <w:spacing w:val="-9"/>
        </w:rPr>
        <w:t> </w:t>
      </w:r>
      <w:r>
        <w:rPr/>
        <w:t>Tenaga</w:t>
      </w:r>
      <w:r>
        <w:rPr>
          <w:spacing w:val="-6"/>
        </w:rPr>
        <w:t> </w:t>
      </w:r>
      <w:r>
        <w:rPr>
          <w:spacing w:val="-4"/>
        </w:rPr>
        <w:t>Ahli</w:t>
      </w:r>
    </w:p>
    <w:p>
      <w:pPr>
        <w:pStyle w:val="BodyText"/>
        <w:spacing w:before="115"/>
        <w:jc w:val="left"/>
        <w:rPr>
          <w:b/>
        </w:rPr>
      </w:pPr>
    </w:p>
    <w:p>
      <w:pPr>
        <w:pStyle w:val="BodyText"/>
        <w:spacing w:line="360" w:lineRule="auto"/>
        <w:ind w:left="854" w:right="778" w:firstLine="537"/>
      </w:pPr>
      <w:r>
        <w:rPr/>
        <w:t>Penelitian ini dilaksanakan oleh Pemerintah Kabupaten Kutai Kartanegara bekerja sama dengan Pusat Riset Pemerintahan Dalam Negeri BRIN. Kegiatan penelitian dilaksanakan selama 3 (tiga) bulan sejak September sampai dengan November 2023. Adapun tahapan pelaksanaan kegiatan penelitian dilakukan dengan tahapan sebagai </w:t>
      </w:r>
      <w:r>
        <w:rPr>
          <w:spacing w:val="-2"/>
        </w:rPr>
        <w:t>berikut:</w:t>
      </w:r>
    </w:p>
    <w:p>
      <w:pPr>
        <w:pStyle w:val="BodyText"/>
        <w:spacing w:before="159"/>
        <w:jc w:val="left"/>
      </w:pPr>
    </w:p>
    <w:p>
      <w:pPr>
        <w:pStyle w:val="Heading2"/>
        <w:numPr>
          <w:ilvl w:val="0"/>
          <w:numId w:val="29"/>
        </w:numPr>
        <w:tabs>
          <w:tab w:pos="1136" w:val="left" w:leader="none"/>
        </w:tabs>
        <w:spacing w:line="240" w:lineRule="auto" w:before="1" w:after="0"/>
        <w:ind w:left="1136" w:right="0" w:hanging="282"/>
        <w:jc w:val="both"/>
      </w:pPr>
      <w:r>
        <w:rPr>
          <w:spacing w:val="-2"/>
        </w:rPr>
        <w:t>Persiapan</w:t>
      </w:r>
    </w:p>
    <w:p>
      <w:pPr>
        <w:pStyle w:val="BodyText"/>
        <w:spacing w:line="360" w:lineRule="auto" w:before="160"/>
        <w:ind w:left="1137" w:right="699"/>
      </w:pPr>
      <w:r>
        <w:rPr/>
        <w:t>Pada tahap ini, tim peneliti menyusun konsep dan desain riset terkait dengan</w:t>
      </w:r>
      <w:r>
        <w:rPr>
          <w:spacing w:val="-1"/>
        </w:rPr>
        <w:t> </w:t>
      </w:r>
      <w:r>
        <w:rPr/>
        <w:t>penelitian</w:t>
      </w:r>
      <w:r>
        <w:rPr>
          <w:spacing w:val="-1"/>
        </w:rPr>
        <w:t> </w:t>
      </w:r>
      <w:r>
        <w:rPr/>
        <w:t>Dampak Keberadaan</w:t>
      </w:r>
      <w:r>
        <w:rPr>
          <w:spacing w:val="-1"/>
        </w:rPr>
        <w:t> </w:t>
      </w:r>
      <w:r>
        <w:rPr/>
        <w:t>Ibu</w:t>
      </w:r>
      <w:r>
        <w:rPr>
          <w:spacing w:val="-1"/>
        </w:rPr>
        <w:t> </w:t>
      </w:r>
      <w:r>
        <w:rPr/>
        <w:t>Kota</w:t>
      </w:r>
      <w:r>
        <w:rPr>
          <w:spacing w:val="-1"/>
        </w:rPr>
        <w:t> </w:t>
      </w:r>
      <w:r>
        <w:rPr/>
        <w:t>Nusantara</w:t>
      </w:r>
      <w:r>
        <w:rPr>
          <w:spacing w:val="-2"/>
        </w:rPr>
        <w:t> </w:t>
      </w:r>
      <w:r>
        <w:rPr/>
        <w:t>Terhadap Potensi Pendapatan dan Pengeluaran Daerah Kabupaten Kutai Kartanegara. Hal ini dilakukan dengan cara mengidentifikasi konsep yang terkait dengan kajian dan menyusun kerangka pikir penelitian Selanjutnya</w:t>
      </w:r>
      <w:r>
        <w:rPr>
          <w:spacing w:val="-7"/>
        </w:rPr>
        <w:t> </w:t>
      </w:r>
      <w:r>
        <w:rPr/>
        <w:t>tim</w:t>
      </w:r>
      <w:r>
        <w:rPr>
          <w:spacing w:val="-6"/>
        </w:rPr>
        <w:t> </w:t>
      </w:r>
      <w:r>
        <w:rPr/>
        <w:t>menyusun</w:t>
      </w:r>
      <w:r>
        <w:rPr>
          <w:spacing w:val="-7"/>
        </w:rPr>
        <w:t> </w:t>
      </w:r>
      <w:r>
        <w:rPr/>
        <w:t>desain</w:t>
      </w:r>
      <w:r>
        <w:rPr>
          <w:spacing w:val="-11"/>
        </w:rPr>
        <w:t> </w:t>
      </w:r>
      <w:r>
        <w:rPr/>
        <w:t>riset</w:t>
      </w:r>
      <w:r>
        <w:rPr>
          <w:spacing w:val="-5"/>
        </w:rPr>
        <w:t> </w:t>
      </w:r>
      <w:r>
        <w:rPr/>
        <w:t>yang</w:t>
      </w:r>
      <w:r>
        <w:rPr>
          <w:spacing w:val="-12"/>
        </w:rPr>
        <w:t> </w:t>
      </w:r>
      <w:r>
        <w:rPr/>
        <w:t>menjadi</w:t>
      </w:r>
      <w:r>
        <w:rPr>
          <w:spacing w:val="-6"/>
        </w:rPr>
        <w:t> </w:t>
      </w:r>
      <w:r>
        <w:rPr/>
        <w:t>panduan</w:t>
      </w:r>
      <w:r>
        <w:rPr>
          <w:spacing w:val="-7"/>
        </w:rPr>
        <w:t> </w:t>
      </w:r>
      <w:r>
        <w:rPr/>
        <w:t>peneliti dalam melakukan penelitian. Instrumen untuk melakukan penelitian juga dibuat untuk melengkapi desain riset. Dalam tahap ini dilakukan diskusi</w:t>
      </w:r>
      <w:r>
        <w:rPr>
          <w:spacing w:val="-17"/>
        </w:rPr>
        <w:t> </w:t>
      </w:r>
      <w:r>
        <w:rPr/>
        <w:t>dengan</w:t>
      </w:r>
      <w:r>
        <w:rPr>
          <w:spacing w:val="-16"/>
        </w:rPr>
        <w:t> </w:t>
      </w:r>
      <w:r>
        <w:rPr/>
        <w:t>narasumber</w:t>
      </w:r>
      <w:r>
        <w:rPr>
          <w:spacing w:val="-17"/>
        </w:rPr>
        <w:t> </w:t>
      </w:r>
      <w:r>
        <w:rPr/>
        <w:t>dan</w:t>
      </w:r>
      <w:r>
        <w:rPr>
          <w:spacing w:val="-16"/>
        </w:rPr>
        <w:t> </w:t>
      </w:r>
      <w:r>
        <w:rPr/>
        <w:t>pakar</w:t>
      </w:r>
      <w:r>
        <w:rPr>
          <w:spacing w:val="-17"/>
        </w:rPr>
        <w:t> </w:t>
      </w:r>
      <w:r>
        <w:rPr/>
        <w:t>atau</w:t>
      </w:r>
      <w:r>
        <w:rPr>
          <w:spacing w:val="-16"/>
        </w:rPr>
        <w:t> </w:t>
      </w:r>
      <w:r>
        <w:rPr/>
        <w:t>praktisi</w:t>
      </w:r>
      <w:r>
        <w:rPr>
          <w:spacing w:val="-17"/>
        </w:rPr>
        <w:t> </w:t>
      </w:r>
      <w:r>
        <w:rPr/>
        <w:t>untuk</w:t>
      </w:r>
      <w:r>
        <w:rPr>
          <w:spacing w:val="-16"/>
        </w:rPr>
        <w:t> </w:t>
      </w:r>
      <w:r>
        <w:rPr/>
        <w:t>memperkaya rancangan</w:t>
      </w:r>
      <w:r>
        <w:rPr>
          <w:spacing w:val="-1"/>
        </w:rPr>
        <w:t> </w:t>
      </w:r>
      <w:r>
        <w:rPr/>
        <w:t>desain</w:t>
      </w:r>
      <w:r>
        <w:rPr>
          <w:spacing w:val="-6"/>
        </w:rPr>
        <w:t> </w:t>
      </w:r>
      <w:r>
        <w:rPr/>
        <w:t>riset</w:t>
      </w:r>
      <w:r>
        <w:rPr>
          <w:spacing w:val="-4"/>
        </w:rPr>
        <w:t> </w:t>
      </w:r>
      <w:r>
        <w:rPr/>
        <w:t>dan</w:t>
      </w:r>
      <w:r>
        <w:rPr>
          <w:spacing w:val="-6"/>
        </w:rPr>
        <w:t> </w:t>
      </w:r>
      <w:r>
        <w:rPr/>
        <w:t>instrumen</w:t>
      </w:r>
      <w:r>
        <w:rPr>
          <w:spacing w:val="-1"/>
        </w:rPr>
        <w:t> </w:t>
      </w:r>
      <w:r>
        <w:rPr/>
        <w:t>penelitian</w:t>
      </w:r>
      <w:r>
        <w:rPr>
          <w:spacing w:val="-6"/>
        </w:rPr>
        <w:t> </w:t>
      </w:r>
      <w:r>
        <w:rPr/>
        <w:t>yang</w:t>
      </w:r>
      <w:r>
        <w:rPr>
          <w:spacing w:val="-2"/>
        </w:rPr>
        <w:t> </w:t>
      </w:r>
      <w:r>
        <w:rPr/>
        <w:t>disusun.</w:t>
      </w:r>
      <w:r>
        <w:rPr>
          <w:spacing w:val="-4"/>
        </w:rPr>
        <w:t> </w:t>
      </w:r>
      <w:r>
        <w:rPr/>
        <w:t>Desain Riset dan instrumen penelitian yang komprehensif menjadi pedoman penting dalam proses pengumpulan data.</w:t>
      </w:r>
    </w:p>
    <w:p>
      <w:pPr>
        <w:pStyle w:val="BodyText"/>
        <w:spacing w:after="0" w:line="360" w:lineRule="auto"/>
        <w:sectPr>
          <w:pgSz w:w="11910" w:h="16840"/>
          <w:pgMar w:header="0" w:footer="1186" w:top="1580" w:bottom="1380" w:left="1700" w:right="992"/>
        </w:sectPr>
      </w:pPr>
    </w:p>
    <w:p>
      <w:pPr>
        <w:pStyle w:val="Heading2"/>
        <w:numPr>
          <w:ilvl w:val="0"/>
          <w:numId w:val="29"/>
        </w:numPr>
        <w:tabs>
          <w:tab w:pos="1137" w:val="left" w:leader="none"/>
        </w:tabs>
        <w:spacing w:line="240" w:lineRule="auto" w:before="82" w:after="0"/>
        <w:ind w:left="1137" w:right="0" w:hanging="283"/>
        <w:jc w:val="both"/>
      </w:pPr>
      <w:r>
        <w:rPr>
          <w:spacing w:val="-2"/>
        </w:rPr>
        <w:t>Pelaksanaan</w:t>
      </w:r>
    </w:p>
    <w:p>
      <w:pPr>
        <w:pStyle w:val="BodyText"/>
        <w:spacing w:line="360" w:lineRule="auto" w:before="161"/>
        <w:ind w:left="1137" w:right="696"/>
      </w:pPr>
      <w:r>
        <w:rPr/>
        <w:t>Pada tahapan ini Tim Peneliti melakukan pengumpulan data dan informasi</w:t>
      </w:r>
      <w:r>
        <w:rPr>
          <w:spacing w:val="-17"/>
        </w:rPr>
        <w:t> </w:t>
      </w:r>
      <w:r>
        <w:rPr/>
        <w:t>berdasarkan</w:t>
      </w:r>
      <w:r>
        <w:rPr>
          <w:spacing w:val="-16"/>
        </w:rPr>
        <w:t> </w:t>
      </w:r>
      <w:r>
        <w:rPr/>
        <w:t>desain</w:t>
      </w:r>
      <w:r>
        <w:rPr>
          <w:spacing w:val="-17"/>
        </w:rPr>
        <w:t> </w:t>
      </w:r>
      <w:r>
        <w:rPr/>
        <w:t>riset</w:t>
      </w:r>
      <w:r>
        <w:rPr>
          <w:spacing w:val="-16"/>
        </w:rPr>
        <w:t> </w:t>
      </w:r>
      <w:r>
        <w:rPr/>
        <w:t>dan</w:t>
      </w:r>
      <w:r>
        <w:rPr>
          <w:spacing w:val="-17"/>
        </w:rPr>
        <w:t> </w:t>
      </w:r>
      <w:r>
        <w:rPr/>
        <w:t>instrumen</w:t>
      </w:r>
      <w:r>
        <w:rPr>
          <w:spacing w:val="-16"/>
        </w:rPr>
        <w:t> </w:t>
      </w:r>
      <w:r>
        <w:rPr/>
        <w:t>penelitian</w:t>
      </w:r>
      <w:r>
        <w:rPr>
          <w:spacing w:val="-17"/>
        </w:rPr>
        <w:t> </w:t>
      </w:r>
      <w:r>
        <w:rPr/>
        <w:t>yang</w:t>
      </w:r>
      <w:r>
        <w:rPr>
          <w:spacing w:val="-16"/>
        </w:rPr>
        <w:t> </w:t>
      </w:r>
      <w:r>
        <w:rPr/>
        <w:t>telah disusun sebelumnya. Kegiatan ini diawali dengan kegiatan turun lapangan pada tanggal 22 – 27 Oktober 2023. Dalam kegiatan turun lapangan</w:t>
      </w:r>
      <w:r>
        <w:rPr>
          <w:spacing w:val="-17"/>
        </w:rPr>
        <w:t> </w:t>
      </w:r>
      <w:r>
        <w:rPr/>
        <w:t>ini</w:t>
      </w:r>
      <w:r>
        <w:rPr>
          <w:spacing w:val="-16"/>
        </w:rPr>
        <w:t> </w:t>
      </w:r>
      <w:r>
        <w:rPr/>
        <w:t>dilakukan</w:t>
      </w:r>
      <w:r>
        <w:rPr>
          <w:spacing w:val="-17"/>
        </w:rPr>
        <w:t> </w:t>
      </w:r>
      <w:r>
        <w:rPr/>
        <w:t>pengumpulan</w:t>
      </w:r>
      <w:r>
        <w:rPr>
          <w:spacing w:val="-16"/>
        </w:rPr>
        <w:t> </w:t>
      </w:r>
      <w:r>
        <w:rPr/>
        <w:t>data</w:t>
      </w:r>
      <w:r>
        <w:rPr>
          <w:spacing w:val="-17"/>
        </w:rPr>
        <w:t> </w:t>
      </w:r>
      <w:r>
        <w:rPr/>
        <w:t>melalui</w:t>
      </w:r>
      <w:r>
        <w:rPr>
          <w:spacing w:val="-16"/>
        </w:rPr>
        <w:t> </w:t>
      </w:r>
      <w:r>
        <w:rPr/>
        <w:t>kegiatan</w:t>
      </w:r>
      <w:r>
        <w:rPr>
          <w:spacing w:val="-17"/>
        </w:rPr>
        <w:t> </w:t>
      </w:r>
      <w:r>
        <w:rPr/>
        <w:t>wawancara dan observasi. Selanjutnya data dan informasi yang diperoleh diolah di Jakarta dan dilakukan triangulasi melalui kegiatan FGD. Kegiatan FGD dilaksanakan selama 2 (dua) hari, yakni pada tanggal 13 November 2023 dengan mengundang pakar dari Direktorat Jenderal Mineral</w:t>
      </w:r>
      <w:r>
        <w:rPr>
          <w:spacing w:val="-17"/>
        </w:rPr>
        <w:t> </w:t>
      </w:r>
      <w:r>
        <w:rPr/>
        <w:t>dan</w:t>
      </w:r>
      <w:r>
        <w:rPr>
          <w:spacing w:val="-16"/>
        </w:rPr>
        <w:t> </w:t>
      </w:r>
      <w:r>
        <w:rPr/>
        <w:t>Batubara</w:t>
      </w:r>
      <w:r>
        <w:rPr>
          <w:spacing w:val="-17"/>
        </w:rPr>
        <w:t> </w:t>
      </w:r>
      <w:r>
        <w:rPr/>
        <w:t>Kementerian</w:t>
      </w:r>
      <w:r>
        <w:rPr>
          <w:spacing w:val="-16"/>
        </w:rPr>
        <w:t> </w:t>
      </w:r>
      <w:r>
        <w:rPr/>
        <w:t>ESDM,</w:t>
      </w:r>
      <w:r>
        <w:rPr>
          <w:spacing w:val="-17"/>
        </w:rPr>
        <w:t> </w:t>
      </w:r>
      <w:r>
        <w:rPr/>
        <w:t>dari</w:t>
      </w:r>
      <w:r>
        <w:rPr>
          <w:spacing w:val="-16"/>
        </w:rPr>
        <w:t> </w:t>
      </w:r>
      <w:r>
        <w:rPr/>
        <w:t>ATR/BPN,</w:t>
      </w:r>
      <w:r>
        <w:rPr>
          <w:spacing w:val="-17"/>
        </w:rPr>
        <w:t> </w:t>
      </w:r>
      <w:r>
        <w:rPr/>
        <w:t>dan</w:t>
      </w:r>
      <w:r>
        <w:rPr>
          <w:spacing w:val="-16"/>
        </w:rPr>
        <w:t> </w:t>
      </w:r>
      <w:r>
        <w:rPr/>
        <w:t>dari</w:t>
      </w:r>
      <w:r>
        <w:rPr>
          <w:spacing w:val="-16"/>
        </w:rPr>
        <w:t> </w:t>
      </w:r>
      <w:r>
        <w:rPr/>
        <w:t>NGO KPPOD.</w:t>
      </w:r>
      <w:r>
        <w:rPr>
          <w:spacing w:val="-17"/>
        </w:rPr>
        <w:t> </w:t>
      </w:r>
      <w:r>
        <w:rPr/>
        <w:t>Hari</w:t>
      </w:r>
      <w:r>
        <w:rPr>
          <w:spacing w:val="-16"/>
        </w:rPr>
        <w:t> </w:t>
      </w:r>
      <w:r>
        <w:rPr/>
        <w:t>kedua</w:t>
      </w:r>
      <w:r>
        <w:rPr>
          <w:spacing w:val="-17"/>
        </w:rPr>
        <w:t> </w:t>
      </w:r>
      <w:r>
        <w:rPr/>
        <w:t>FGD</w:t>
      </w:r>
      <w:r>
        <w:rPr>
          <w:spacing w:val="-16"/>
        </w:rPr>
        <w:t> </w:t>
      </w:r>
      <w:r>
        <w:rPr/>
        <w:t>dilaksanakan</w:t>
      </w:r>
      <w:r>
        <w:rPr>
          <w:spacing w:val="-17"/>
        </w:rPr>
        <w:t> </w:t>
      </w:r>
      <w:r>
        <w:rPr/>
        <w:t>pada</w:t>
      </w:r>
      <w:r>
        <w:rPr>
          <w:spacing w:val="-16"/>
        </w:rPr>
        <w:t> </w:t>
      </w:r>
      <w:r>
        <w:rPr/>
        <w:t>14</w:t>
      </w:r>
      <w:r>
        <w:rPr>
          <w:spacing w:val="-17"/>
        </w:rPr>
        <w:t> </w:t>
      </w:r>
      <w:r>
        <w:rPr/>
        <w:t>November</w:t>
      </w:r>
      <w:r>
        <w:rPr>
          <w:spacing w:val="-16"/>
        </w:rPr>
        <w:t> </w:t>
      </w:r>
      <w:r>
        <w:rPr/>
        <w:t>2023</w:t>
      </w:r>
      <w:r>
        <w:rPr>
          <w:spacing w:val="-16"/>
        </w:rPr>
        <w:t> </w:t>
      </w:r>
      <w:r>
        <w:rPr/>
        <w:t>dengan mengundang pakar dari Direktorat Jenderal Keuangan Daerah Kementerian Dalam Negeri, Direktorat Jenderal Bina Administrasi Kewilayahan Kementerian Dalam Negeri; dan Direktorat Jenderal Perimbangan Keuangan Kementerian Keuangan. Seluruh hasil penelitian lapangan dan FGD digunakan dalam menganalisis persoalan penelitian dan merumuskan strategi mendapatkan konsesi atas</w:t>
      </w:r>
      <w:r>
        <w:rPr>
          <w:spacing w:val="-4"/>
        </w:rPr>
        <w:t> </w:t>
      </w:r>
      <w:r>
        <w:rPr/>
        <w:t>hilangnya</w:t>
      </w:r>
      <w:r>
        <w:rPr>
          <w:spacing w:val="-1"/>
        </w:rPr>
        <w:t> </w:t>
      </w:r>
      <w:r>
        <w:rPr/>
        <w:t>potensi</w:t>
      </w:r>
      <w:r>
        <w:rPr>
          <w:spacing w:val="-4"/>
        </w:rPr>
        <w:t> </w:t>
      </w:r>
      <w:r>
        <w:rPr/>
        <w:t>pendapatan</w:t>
      </w:r>
      <w:r>
        <w:rPr>
          <w:spacing w:val="-5"/>
        </w:rPr>
        <w:t> </w:t>
      </w:r>
      <w:r>
        <w:rPr/>
        <w:t>dan</w:t>
      </w:r>
      <w:r>
        <w:rPr>
          <w:spacing w:val="-5"/>
        </w:rPr>
        <w:t> </w:t>
      </w:r>
      <w:r>
        <w:rPr/>
        <w:t>pengeluaran</w:t>
      </w:r>
      <w:r>
        <w:rPr>
          <w:spacing w:val="-5"/>
        </w:rPr>
        <w:t> </w:t>
      </w:r>
      <w:r>
        <w:rPr/>
        <w:t>Kabupaten</w:t>
      </w:r>
      <w:r>
        <w:rPr>
          <w:spacing w:val="-5"/>
        </w:rPr>
        <w:t> </w:t>
      </w:r>
      <w:r>
        <w:rPr/>
        <w:t>Kutai </w:t>
      </w:r>
      <w:r>
        <w:rPr>
          <w:spacing w:val="-2"/>
        </w:rPr>
        <w:t>Kartanegara.</w:t>
      </w:r>
    </w:p>
    <w:p>
      <w:pPr>
        <w:pStyle w:val="BodyText"/>
        <w:spacing w:before="162"/>
        <w:jc w:val="left"/>
      </w:pPr>
    </w:p>
    <w:p>
      <w:pPr>
        <w:pStyle w:val="Heading2"/>
        <w:numPr>
          <w:ilvl w:val="0"/>
          <w:numId w:val="29"/>
        </w:numPr>
        <w:tabs>
          <w:tab w:pos="1136" w:val="left" w:leader="none"/>
        </w:tabs>
        <w:spacing w:line="240" w:lineRule="auto" w:before="0" w:after="0"/>
        <w:ind w:left="1136" w:right="0" w:hanging="282"/>
        <w:jc w:val="both"/>
      </w:pPr>
      <w:r>
        <w:rPr>
          <w:spacing w:val="-2"/>
        </w:rPr>
        <w:t>Pembahasan</w:t>
      </w:r>
    </w:p>
    <w:p>
      <w:pPr>
        <w:pStyle w:val="BodyText"/>
        <w:spacing w:line="360" w:lineRule="auto" w:before="161"/>
        <w:ind w:left="1137" w:right="699"/>
      </w:pPr>
      <w:r>
        <w:rPr/>
        <w:t>Data yang telah terkumpul kemudian diolah dan dianalisis untuk kemudian dituangkan dalam laporan hasil penelitian. Selain dalam bentuk laporan penelitian, tim peneliti juga menyusun </w:t>
      </w:r>
      <w:r>
        <w:rPr>
          <w:i/>
        </w:rPr>
        <w:t>policy brief </w:t>
      </w:r>
      <w:r>
        <w:rPr/>
        <w:t>strategi mendapatkan konsesi ke Pemerintah Pusat dan Rancangan Kebijakan untuk mendapatkan konsesi pengganti pendapatan yang hilang dari sektor DBH.</w:t>
      </w:r>
    </w:p>
    <w:p>
      <w:pPr>
        <w:pStyle w:val="BodyText"/>
        <w:spacing w:after="0" w:line="360" w:lineRule="auto"/>
        <w:sectPr>
          <w:pgSz w:w="11910" w:h="16840"/>
          <w:pgMar w:header="0" w:footer="1186" w:top="1580" w:bottom="1380" w:left="1700" w:right="992"/>
        </w:sectPr>
      </w:pPr>
    </w:p>
    <w:p>
      <w:pPr>
        <w:pStyle w:val="Heading2"/>
        <w:numPr>
          <w:ilvl w:val="0"/>
          <w:numId w:val="29"/>
        </w:numPr>
        <w:tabs>
          <w:tab w:pos="1185" w:val="left" w:leader="none"/>
        </w:tabs>
        <w:spacing w:line="240" w:lineRule="auto" w:before="82" w:after="0"/>
        <w:ind w:left="1185" w:right="0" w:hanging="345"/>
        <w:jc w:val="both"/>
      </w:pPr>
      <w:r>
        <w:rPr>
          <w:spacing w:val="-2"/>
        </w:rPr>
        <w:t>Pelaporan</w:t>
      </w:r>
    </w:p>
    <w:p>
      <w:pPr>
        <w:pStyle w:val="BodyText"/>
        <w:spacing w:line="360" w:lineRule="auto" w:before="161"/>
        <w:ind w:left="1137" w:right="700"/>
      </w:pPr>
      <w:r>
        <w:rPr/>
        <w:t>Pada</w:t>
      </w:r>
      <w:r>
        <w:rPr>
          <w:spacing w:val="-17"/>
        </w:rPr>
        <w:t> </w:t>
      </w:r>
      <w:r>
        <w:rPr/>
        <w:t>tahap</w:t>
      </w:r>
      <w:r>
        <w:rPr>
          <w:spacing w:val="-16"/>
        </w:rPr>
        <w:t> </w:t>
      </w:r>
      <w:r>
        <w:rPr/>
        <w:t>ini</w:t>
      </w:r>
      <w:r>
        <w:rPr>
          <w:spacing w:val="-17"/>
        </w:rPr>
        <w:t> </w:t>
      </w:r>
      <w:r>
        <w:rPr/>
        <w:t>dilakukan</w:t>
      </w:r>
      <w:r>
        <w:rPr>
          <w:spacing w:val="-16"/>
        </w:rPr>
        <w:t> </w:t>
      </w:r>
      <w:r>
        <w:rPr/>
        <w:t>finalisasi</w:t>
      </w:r>
      <w:r>
        <w:rPr>
          <w:spacing w:val="-17"/>
        </w:rPr>
        <w:t> </w:t>
      </w:r>
      <w:r>
        <w:rPr/>
        <w:t>laporan</w:t>
      </w:r>
      <w:r>
        <w:rPr>
          <w:spacing w:val="-16"/>
        </w:rPr>
        <w:t> </w:t>
      </w:r>
      <w:r>
        <w:rPr/>
        <w:t>akhir</w:t>
      </w:r>
      <w:r>
        <w:rPr>
          <w:spacing w:val="-17"/>
        </w:rPr>
        <w:t> </w:t>
      </w:r>
      <w:r>
        <w:rPr/>
        <w:t>dan</w:t>
      </w:r>
      <w:r>
        <w:rPr>
          <w:spacing w:val="-16"/>
        </w:rPr>
        <w:t> </w:t>
      </w:r>
      <w:r>
        <w:rPr>
          <w:i/>
        </w:rPr>
        <w:t>policy</w:t>
      </w:r>
      <w:r>
        <w:rPr>
          <w:i/>
          <w:spacing w:val="-16"/>
        </w:rPr>
        <w:t> </w:t>
      </w:r>
      <w:r>
        <w:rPr>
          <w:i/>
        </w:rPr>
        <w:t>brief</w:t>
      </w:r>
      <w:r>
        <w:rPr>
          <w:i/>
          <w:spacing w:val="-17"/>
        </w:rPr>
        <w:t> </w:t>
      </w:r>
      <w:r>
        <w:rPr/>
        <w:t>strategi mendapatkan konsesi ke Pemerintah Pusat dan rancangan kebijakan untuk mendapatkan konsesi pengganti pendapatan yang hilang dari sektor DBH. Adapun tahapan kegiatan penelitian secara keseluruhan dapat dilihat pada tabel berikut.</w:t>
      </w:r>
    </w:p>
    <w:p>
      <w:pPr>
        <w:pStyle w:val="BodyText"/>
        <w:spacing w:before="60"/>
        <w:jc w:val="left"/>
      </w:pPr>
    </w:p>
    <w:p>
      <w:pPr>
        <w:spacing w:before="0"/>
        <w:ind w:left="1487" w:right="1628" w:firstLine="0"/>
        <w:jc w:val="center"/>
        <w:rPr>
          <w:rFonts w:ascii="Lucida Sans Unicode"/>
          <w:sz w:val="22"/>
        </w:rPr>
      </w:pPr>
      <w:bookmarkStart w:name="_bookmark29" w:id="30"/>
      <w:bookmarkEnd w:id="30"/>
      <w:r>
        <w:rPr/>
      </w:r>
      <w:r>
        <w:rPr>
          <w:rFonts w:ascii="Tahoma"/>
          <w:b/>
          <w:w w:val="105"/>
          <w:sz w:val="22"/>
        </w:rPr>
        <w:t>Tabel</w:t>
      </w:r>
      <w:r>
        <w:rPr>
          <w:rFonts w:ascii="Tahoma"/>
          <w:b/>
          <w:spacing w:val="-17"/>
          <w:w w:val="105"/>
          <w:sz w:val="22"/>
        </w:rPr>
        <w:t> </w:t>
      </w:r>
      <w:r>
        <w:rPr>
          <w:rFonts w:ascii="Tahoma"/>
          <w:b/>
          <w:w w:val="105"/>
          <w:sz w:val="22"/>
        </w:rPr>
        <w:t>4.</w:t>
      </w:r>
      <w:r>
        <w:rPr>
          <w:rFonts w:ascii="Tahoma"/>
          <w:b/>
          <w:spacing w:val="-8"/>
          <w:w w:val="105"/>
          <w:sz w:val="22"/>
        </w:rPr>
        <w:t> </w:t>
      </w:r>
      <w:r>
        <w:rPr>
          <w:rFonts w:ascii="Lucida Sans Unicode"/>
          <w:w w:val="105"/>
          <w:sz w:val="22"/>
        </w:rPr>
        <w:t>Tahapan</w:t>
      </w:r>
      <w:r>
        <w:rPr>
          <w:rFonts w:ascii="Lucida Sans Unicode"/>
          <w:spacing w:val="-11"/>
          <w:w w:val="105"/>
          <w:sz w:val="22"/>
        </w:rPr>
        <w:t> </w:t>
      </w:r>
      <w:r>
        <w:rPr>
          <w:rFonts w:ascii="Lucida Sans Unicode"/>
          <w:w w:val="105"/>
          <w:sz w:val="22"/>
        </w:rPr>
        <w:t>Pelaksanaan</w:t>
      </w:r>
      <w:r>
        <w:rPr>
          <w:rFonts w:ascii="Lucida Sans Unicode"/>
          <w:spacing w:val="-11"/>
          <w:w w:val="105"/>
          <w:sz w:val="22"/>
        </w:rPr>
        <w:t> </w:t>
      </w:r>
      <w:r>
        <w:rPr>
          <w:rFonts w:ascii="Lucida Sans Unicode"/>
          <w:w w:val="105"/>
          <w:sz w:val="22"/>
        </w:rPr>
        <w:t>Kegiatan</w:t>
      </w:r>
      <w:r>
        <w:rPr>
          <w:rFonts w:ascii="Lucida Sans Unicode"/>
          <w:spacing w:val="-12"/>
          <w:w w:val="105"/>
          <w:sz w:val="22"/>
        </w:rPr>
        <w:t> </w:t>
      </w:r>
      <w:r>
        <w:rPr>
          <w:rFonts w:ascii="Lucida Sans Unicode"/>
          <w:spacing w:val="-2"/>
          <w:w w:val="105"/>
          <w:sz w:val="22"/>
        </w:rPr>
        <w:t>Penelitian</w:t>
      </w:r>
    </w:p>
    <w:p>
      <w:pPr>
        <w:pStyle w:val="BodyText"/>
        <w:spacing w:before="13"/>
        <w:jc w:val="left"/>
        <w:rPr>
          <w:rFonts w:ascii="Lucida Sans Unicode"/>
          <w:sz w:val="11"/>
        </w:rPr>
      </w:pPr>
    </w:p>
    <w:tbl>
      <w:tblPr>
        <w:tblW w:w="0" w:type="auto"/>
        <w:jc w:val="left"/>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887"/>
        <w:gridCol w:w="998"/>
        <w:gridCol w:w="1013"/>
        <w:gridCol w:w="1003"/>
        <w:gridCol w:w="1027"/>
      </w:tblGrid>
      <w:tr>
        <w:trPr>
          <w:trHeight w:val="566" w:hRule="atLeast"/>
        </w:trPr>
        <w:tc>
          <w:tcPr>
            <w:tcW w:w="1440" w:type="dxa"/>
            <w:shd w:val="clear" w:color="auto" w:fill="8DB3E0"/>
          </w:tcPr>
          <w:p>
            <w:pPr>
              <w:pStyle w:val="TableParagraph"/>
              <w:ind w:left="5" w:right="1"/>
              <w:jc w:val="center"/>
              <w:rPr>
                <w:sz w:val="24"/>
              </w:rPr>
            </w:pPr>
            <w:r>
              <w:rPr>
                <w:spacing w:val="-5"/>
                <w:sz w:val="24"/>
              </w:rPr>
              <w:t>No.</w:t>
            </w:r>
          </w:p>
        </w:tc>
        <w:tc>
          <w:tcPr>
            <w:tcW w:w="1887" w:type="dxa"/>
            <w:shd w:val="clear" w:color="auto" w:fill="8DB3E0"/>
          </w:tcPr>
          <w:p>
            <w:pPr>
              <w:pStyle w:val="TableParagraph"/>
              <w:ind w:left="413"/>
              <w:rPr>
                <w:sz w:val="24"/>
              </w:rPr>
            </w:pPr>
            <w:r>
              <w:rPr>
                <w:spacing w:val="-2"/>
                <w:sz w:val="24"/>
              </w:rPr>
              <w:t>TAHAPAN</w:t>
            </w:r>
          </w:p>
        </w:tc>
        <w:tc>
          <w:tcPr>
            <w:tcW w:w="998" w:type="dxa"/>
            <w:shd w:val="clear" w:color="auto" w:fill="8DB3E0"/>
          </w:tcPr>
          <w:p>
            <w:pPr>
              <w:pStyle w:val="TableParagraph"/>
              <w:ind w:left="317"/>
              <w:rPr>
                <w:sz w:val="24"/>
              </w:rPr>
            </w:pPr>
            <w:r>
              <w:rPr>
                <w:spacing w:val="-5"/>
                <w:sz w:val="24"/>
              </w:rPr>
              <w:t>Agt</w:t>
            </w:r>
          </w:p>
        </w:tc>
        <w:tc>
          <w:tcPr>
            <w:tcW w:w="1013" w:type="dxa"/>
            <w:shd w:val="clear" w:color="auto" w:fill="8DB3E0"/>
          </w:tcPr>
          <w:p>
            <w:pPr>
              <w:pStyle w:val="TableParagraph"/>
              <w:ind w:left="313"/>
              <w:rPr>
                <w:sz w:val="24"/>
              </w:rPr>
            </w:pPr>
            <w:r>
              <w:rPr>
                <w:spacing w:val="-5"/>
                <w:sz w:val="24"/>
              </w:rPr>
              <w:t>Sep</w:t>
            </w:r>
          </w:p>
        </w:tc>
        <w:tc>
          <w:tcPr>
            <w:tcW w:w="1003" w:type="dxa"/>
            <w:shd w:val="clear" w:color="auto" w:fill="8DB3E0"/>
          </w:tcPr>
          <w:p>
            <w:pPr>
              <w:pStyle w:val="TableParagraph"/>
              <w:ind w:left="313"/>
              <w:rPr>
                <w:sz w:val="24"/>
              </w:rPr>
            </w:pPr>
            <w:r>
              <w:rPr>
                <w:spacing w:val="-5"/>
                <w:sz w:val="24"/>
              </w:rPr>
              <w:t>Okt</w:t>
            </w:r>
          </w:p>
        </w:tc>
        <w:tc>
          <w:tcPr>
            <w:tcW w:w="1027" w:type="dxa"/>
            <w:shd w:val="clear" w:color="auto" w:fill="8DB3E0"/>
          </w:tcPr>
          <w:p>
            <w:pPr>
              <w:pStyle w:val="TableParagraph"/>
              <w:ind w:left="300"/>
              <w:rPr>
                <w:sz w:val="24"/>
              </w:rPr>
            </w:pPr>
            <w:r>
              <w:rPr>
                <w:spacing w:val="-5"/>
                <w:sz w:val="24"/>
              </w:rPr>
              <w:t>Nov</w:t>
            </w:r>
          </w:p>
        </w:tc>
      </w:tr>
      <w:tr>
        <w:trPr>
          <w:trHeight w:val="566" w:hRule="atLeast"/>
        </w:trPr>
        <w:tc>
          <w:tcPr>
            <w:tcW w:w="1440" w:type="dxa"/>
          </w:tcPr>
          <w:p>
            <w:pPr>
              <w:pStyle w:val="TableParagraph"/>
              <w:ind w:left="5"/>
              <w:jc w:val="center"/>
              <w:rPr>
                <w:sz w:val="24"/>
              </w:rPr>
            </w:pPr>
            <w:r>
              <w:rPr>
                <w:spacing w:val="-10"/>
                <w:sz w:val="24"/>
              </w:rPr>
              <w:t>1</w:t>
            </w:r>
          </w:p>
        </w:tc>
        <w:tc>
          <w:tcPr>
            <w:tcW w:w="1887" w:type="dxa"/>
          </w:tcPr>
          <w:p>
            <w:pPr>
              <w:pStyle w:val="TableParagraph"/>
              <w:ind w:left="111"/>
              <w:rPr>
                <w:sz w:val="24"/>
              </w:rPr>
            </w:pPr>
            <w:r>
              <w:rPr>
                <w:spacing w:val="-2"/>
                <w:sz w:val="24"/>
              </w:rPr>
              <w:t>Persiapan</w:t>
            </w:r>
          </w:p>
        </w:tc>
        <w:tc>
          <w:tcPr>
            <w:tcW w:w="998" w:type="dxa"/>
            <w:shd w:val="clear" w:color="auto" w:fill="FFFF00"/>
          </w:tcPr>
          <w:p>
            <w:pPr>
              <w:pStyle w:val="TableParagraph"/>
              <w:rPr>
                <w:rFonts w:ascii="Times New Roman"/>
                <w:sz w:val="22"/>
              </w:rPr>
            </w:pPr>
          </w:p>
        </w:tc>
        <w:tc>
          <w:tcPr>
            <w:tcW w:w="1013" w:type="dxa"/>
            <w:shd w:val="clear" w:color="auto" w:fill="FFFF00"/>
          </w:tcPr>
          <w:p>
            <w:pPr>
              <w:pStyle w:val="TableParagraph"/>
              <w:rPr>
                <w:rFonts w:ascii="Times New Roman"/>
                <w:sz w:val="22"/>
              </w:rPr>
            </w:pPr>
          </w:p>
        </w:tc>
        <w:tc>
          <w:tcPr>
            <w:tcW w:w="1003" w:type="dxa"/>
          </w:tcPr>
          <w:p>
            <w:pPr>
              <w:pStyle w:val="TableParagraph"/>
              <w:rPr>
                <w:rFonts w:ascii="Times New Roman"/>
                <w:sz w:val="22"/>
              </w:rPr>
            </w:pPr>
          </w:p>
        </w:tc>
        <w:tc>
          <w:tcPr>
            <w:tcW w:w="1027" w:type="dxa"/>
          </w:tcPr>
          <w:p>
            <w:pPr>
              <w:pStyle w:val="TableParagraph"/>
              <w:rPr>
                <w:rFonts w:ascii="Times New Roman"/>
                <w:sz w:val="22"/>
              </w:rPr>
            </w:pPr>
          </w:p>
        </w:tc>
      </w:tr>
      <w:tr>
        <w:trPr>
          <w:trHeight w:val="570" w:hRule="atLeast"/>
        </w:trPr>
        <w:tc>
          <w:tcPr>
            <w:tcW w:w="1440" w:type="dxa"/>
          </w:tcPr>
          <w:p>
            <w:pPr>
              <w:pStyle w:val="TableParagraph"/>
              <w:ind w:left="5"/>
              <w:jc w:val="center"/>
              <w:rPr>
                <w:sz w:val="24"/>
              </w:rPr>
            </w:pPr>
            <w:r>
              <w:rPr>
                <w:spacing w:val="-10"/>
                <w:sz w:val="24"/>
              </w:rPr>
              <w:t>2</w:t>
            </w:r>
          </w:p>
        </w:tc>
        <w:tc>
          <w:tcPr>
            <w:tcW w:w="1887" w:type="dxa"/>
          </w:tcPr>
          <w:p>
            <w:pPr>
              <w:pStyle w:val="TableParagraph"/>
              <w:ind w:left="111"/>
              <w:rPr>
                <w:sz w:val="24"/>
              </w:rPr>
            </w:pPr>
            <w:r>
              <w:rPr>
                <w:spacing w:val="-2"/>
                <w:sz w:val="24"/>
              </w:rPr>
              <w:t>Pelaksanaan</w:t>
            </w:r>
          </w:p>
        </w:tc>
        <w:tc>
          <w:tcPr>
            <w:tcW w:w="998" w:type="dxa"/>
          </w:tcPr>
          <w:p>
            <w:pPr>
              <w:pStyle w:val="TableParagraph"/>
              <w:rPr>
                <w:rFonts w:ascii="Times New Roman"/>
                <w:sz w:val="22"/>
              </w:rPr>
            </w:pPr>
          </w:p>
        </w:tc>
        <w:tc>
          <w:tcPr>
            <w:tcW w:w="1013" w:type="dxa"/>
            <w:shd w:val="clear" w:color="auto" w:fill="00AE50"/>
          </w:tcPr>
          <w:p>
            <w:pPr>
              <w:pStyle w:val="TableParagraph"/>
              <w:rPr>
                <w:rFonts w:ascii="Times New Roman"/>
                <w:sz w:val="22"/>
              </w:rPr>
            </w:pPr>
          </w:p>
        </w:tc>
        <w:tc>
          <w:tcPr>
            <w:tcW w:w="1003" w:type="dxa"/>
            <w:shd w:val="clear" w:color="auto" w:fill="00AE50"/>
          </w:tcPr>
          <w:p>
            <w:pPr>
              <w:pStyle w:val="TableParagraph"/>
              <w:rPr>
                <w:rFonts w:ascii="Times New Roman"/>
                <w:sz w:val="22"/>
              </w:rPr>
            </w:pPr>
          </w:p>
        </w:tc>
        <w:tc>
          <w:tcPr>
            <w:tcW w:w="1027" w:type="dxa"/>
          </w:tcPr>
          <w:p>
            <w:pPr>
              <w:pStyle w:val="TableParagraph"/>
              <w:rPr>
                <w:rFonts w:ascii="Times New Roman"/>
                <w:sz w:val="22"/>
              </w:rPr>
            </w:pPr>
          </w:p>
        </w:tc>
      </w:tr>
      <w:tr>
        <w:trPr>
          <w:trHeight w:val="566" w:hRule="atLeast"/>
        </w:trPr>
        <w:tc>
          <w:tcPr>
            <w:tcW w:w="1440" w:type="dxa"/>
          </w:tcPr>
          <w:p>
            <w:pPr>
              <w:pStyle w:val="TableParagraph"/>
              <w:spacing w:line="314" w:lineRule="exact"/>
              <w:ind w:left="5"/>
              <w:jc w:val="center"/>
              <w:rPr>
                <w:sz w:val="24"/>
              </w:rPr>
            </w:pPr>
            <w:r>
              <w:rPr>
                <w:spacing w:val="-10"/>
                <w:sz w:val="24"/>
              </w:rPr>
              <w:t>3</w:t>
            </w:r>
          </w:p>
        </w:tc>
        <w:tc>
          <w:tcPr>
            <w:tcW w:w="1887" w:type="dxa"/>
          </w:tcPr>
          <w:p>
            <w:pPr>
              <w:pStyle w:val="TableParagraph"/>
              <w:spacing w:line="314" w:lineRule="exact"/>
              <w:ind w:left="111"/>
              <w:rPr>
                <w:sz w:val="24"/>
              </w:rPr>
            </w:pPr>
            <w:r>
              <w:rPr>
                <w:spacing w:val="-2"/>
                <w:sz w:val="24"/>
              </w:rPr>
              <w:t>Pelaporan</w:t>
            </w:r>
          </w:p>
        </w:tc>
        <w:tc>
          <w:tcPr>
            <w:tcW w:w="998" w:type="dxa"/>
          </w:tcPr>
          <w:p>
            <w:pPr>
              <w:pStyle w:val="TableParagraph"/>
              <w:rPr>
                <w:rFonts w:ascii="Times New Roman"/>
                <w:sz w:val="22"/>
              </w:rPr>
            </w:pPr>
          </w:p>
        </w:tc>
        <w:tc>
          <w:tcPr>
            <w:tcW w:w="1013" w:type="dxa"/>
          </w:tcPr>
          <w:p>
            <w:pPr>
              <w:pStyle w:val="TableParagraph"/>
              <w:rPr>
                <w:rFonts w:ascii="Times New Roman"/>
                <w:sz w:val="22"/>
              </w:rPr>
            </w:pPr>
          </w:p>
        </w:tc>
        <w:tc>
          <w:tcPr>
            <w:tcW w:w="1003" w:type="dxa"/>
            <w:shd w:val="clear" w:color="auto" w:fill="FF0000"/>
          </w:tcPr>
          <w:p>
            <w:pPr>
              <w:pStyle w:val="TableParagraph"/>
              <w:rPr>
                <w:rFonts w:ascii="Times New Roman"/>
                <w:sz w:val="22"/>
              </w:rPr>
            </w:pPr>
          </w:p>
        </w:tc>
        <w:tc>
          <w:tcPr>
            <w:tcW w:w="1027" w:type="dxa"/>
            <w:shd w:val="clear" w:color="auto" w:fill="FF0000"/>
          </w:tcPr>
          <w:p>
            <w:pPr>
              <w:pStyle w:val="TableParagraph"/>
              <w:rPr>
                <w:rFonts w:ascii="Times New Roman"/>
                <w:sz w:val="22"/>
              </w:rPr>
            </w:pPr>
          </w:p>
        </w:tc>
      </w:tr>
    </w:tbl>
    <w:p>
      <w:pPr>
        <w:pStyle w:val="BodyText"/>
        <w:spacing w:before="28"/>
        <w:jc w:val="left"/>
        <w:rPr>
          <w:rFonts w:ascii="Lucida Sans Unicode"/>
          <w:sz w:val="22"/>
        </w:rPr>
      </w:pPr>
    </w:p>
    <w:p>
      <w:pPr>
        <w:pStyle w:val="BodyText"/>
        <w:spacing w:line="278" w:lineRule="auto"/>
        <w:ind w:left="1137" w:right="720"/>
        <w:jc w:val="left"/>
      </w:pPr>
      <w:r>
        <w:rPr/>
        <w:t>Adapun kualifikasi Tenaga Ahli/Peneliti yang dibutuhkan sebagai pelaksana kegiatan penelitian terdiri dari:</w:t>
      </w:r>
    </w:p>
    <w:p>
      <w:pPr>
        <w:pStyle w:val="ListParagraph"/>
        <w:numPr>
          <w:ilvl w:val="1"/>
          <w:numId w:val="29"/>
        </w:numPr>
        <w:tabs>
          <w:tab w:pos="1558" w:val="left" w:leader="none"/>
        </w:tabs>
        <w:spacing w:line="317" w:lineRule="exact" w:before="0" w:after="0"/>
        <w:ind w:left="1558" w:right="0" w:hanging="282"/>
        <w:jc w:val="left"/>
        <w:rPr>
          <w:sz w:val="24"/>
        </w:rPr>
      </w:pPr>
      <w:r>
        <w:rPr>
          <w:sz w:val="24"/>
        </w:rPr>
        <w:t>Tenaga</w:t>
      </w:r>
      <w:r>
        <w:rPr>
          <w:spacing w:val="-10"/>
          <w:sz w:val="24"/>
        </w:rPr>
        <w:t> </w:t>
      </w:r>
      <w:r>
        <w:rPr>
          <w:sz w:val="24"/>
        </w:rPr>
        <w:t>Ahli</w:t>
      </w:r>
      <w:r>
        <w:rPr>
          <w:spacing w:val="-8"/>
          <w:sz w:val="24"/>
        </w:rPr>
        <w:t> </w:t>
      </w:r>
      <w:r>
        <w:rPr>
          <w:sz w:val="24"/>
        </w:rPr>
        <w:t>Kebijakan</w:t>
      </w:r>
      <w:r>
        <w:rPr>
          <w:spacing w:val="-8"/>
          <w:sz w:val="24"/>
        </w:rPr>
        <w:t> </w:t>
      </w:r>
      <w:r>
        <w:rPr>
          <w:spacing w:val="-2"/>
          <w:sz w:val="24"/>
        </w:rPr>
        <w:t>Publik;</w:t>
      </w:r>
    </w:p>
    <w:p>
      <w:pPr>
        <w:pStyle w:val="ListParagraph"/>
        <w:numPr>
          <w:ilvl w:val="1"/>
          <w:numId w:val="29"/>
        </w:numPr>
        <w:tabs>
          <w:tab w:pos="1558" w:val="left" w:leader="none"/>
        </w:tabs>
        <w:spacing w:line="240" w:lineRule="auto" w:before="41" w:after="0"/>
        <w:ind w:left="1558" w:right="0" w:hanging="282"/>
        <w:jc w:val="left"/>
        <w:rPr>
          <w:sz w:val="24"/>
        </w:rPr>
      </w:pPr>
      <w:r>
        <w:rPr>
          <w:sz w:val="24"/>
        </w:rPr>
        <w:t>Tenaga</w:t>
      </w:r>
      <w:r>
        <w:rPr>
          <w:spacing w:val="-7"/>
          <w:sz w:val="24"/>
        </w:rPr>
        <w:t> </w:t>
      </w:r>
      <w:r>
        <w:rPr>
          <w:sz w:val="24"/>
        </w:rPr>
        <w:t>Ahli</w:t>
      </w:r>
      <w:r>
        <w:rPr>
          <w:spacing w:val="-5"/>
          <w:sz w:val="24"/>
        </w:rPr>
        <w:t> </w:t>
      </w:r>
      <w:r>
        <w:rPr>
          <w:sz w:val="24"/>
        </w:rPr>
        <w:t>Ekonomi</w:t>
      </w:r>
      <w:r>
        <w:rPr>
          <w:spacing w:val="-2"/>
          <w:sz w:val="24"/>
        </w:rPr>
        <w:t> </w:t>
      </w:r>
      <w:r>
        <w:rPr>
          <w:sz w:val="24"/>
        </w:rPr>
        <w:t>dan</w:t>
      </w:r>
      <w:r>
        <w:rPr>
          <w:spacing w:val="-5"/>
          <w:sz w:val="24"/>
        </w:rPr>
        <w:t> </w:t>
      </w:r>
      <w:r>
        <w:rPr>
          <w:spacing w:val="-2"/>
          <w:sz w:val="24"/>
        </w:rPr>
        <w:t>Keuangan;</w:t>
      </w:r>
    </w:p>
    <w:p>
      <w:pPr>
        <w:pStyle w:val="ListParagraph"/>
        <w:numPr>
          <w:ilvl w:val="1"/>
          <w:numId w:val="29"/>
        </w:numPr>
        <w:tabs>
          <w:tab w:pos="1558" w:val="left" w:leader="none"/>
        </w:tabs>
        <w:spacing w:line="240" w:lineRule="auto" w:before="37" w:after="0"/>
        <w:ind w:left="1558" w:right="0" w:hanging="282"/>
        <w:jc w:val="left"/>
        <w:rPr>
          <w:sz w:val="24"/>
        </w:rPr>
      </w:pPr>
      <w:r>
        <w:rPr>
          <w:sz w:val="24"/>
        </w:rPr>
        <w:t>Tenaga</w:t>
      </w:r>
      <w:r>
        <w:rPr>
          <w:spacing w:val="-6"/>
          <w:sz w:val="24"/>
        </w:rPr>
        <w:t> </w:t>
      </w:r>
      <w:r>
        <w:rPr>
          <w:sz w:val="24"/>
        </w:rPr>
        <w:t>Ahli</w:t>
      </w:r>
      <w:r>
        <w:rPr>
          <w:spacing w:val="-4"/>
          <w:sz w:val="24"/>
        </w:rPr>
        <w:t> </w:t>
      </w:r>
      <w:r>
        <w:rPr>
          <w:spacing w:val="-2"/>
          <w:sz w:val="24"/>
        </w:rPr>
        <w:t>Manajemen</w:t>
      </w:r>
    </w:p>
    <w:p>
      <w:pPr>
        <w:pStyle w:val="ListParagraph"/>
        <w:numPr>
          <w:ilvl w:val="1"/>
          <w:numId w:val="29"/>
        </w:numPr>
        <w:tabs>
          <w:tab w:pos="1558" w:val="left" w:leader="none"/>
        </w:tabs>
        <w:spacing w:line="240" w:lineRule="auto" w:before="42" w:after="0"/>
        <w:ind w:left="1558" w:right="0" w:hanging="282"/>
        <w:jc w:val="left"/>
        <w:rPr>
          <w:sz w:val="24"/>
        </w:rPr>
      </w:pPr>
      <w:r>
        <w:rPr>
          <w:sz w:val="24"/>
        </w:rPr>
        <w:t>Tenaga</w:t>
      </w:r>
      <w:r>
        <w:rPr>
          <w:spacing w:val="-9"/>
          <w:sz w:val="24"/>
        </w:rPr>
        <w:t> </w:t>
      </w:r>
      <w:r>
        <w:rPr>
          <w:sz w:val="24"/>
        </w:rPr>
        <w:t>Ahli</w:t>
      </w:r>
      <w:r>
        <w:rPr>
          <w:spacing w:val="-6"/>
          <w:sz w:val="24"/>
        </w:rPr>
        <w:t> </w:t>
      </w:r>
      <w:r>
        <w:rPr>
          <w:spacing w:val="-2"/>
          <w:sz w:val="24"/>
        </w:rPr>
        <w:t>Pemetaan;</w:t>
      </w:r>
    </w:p>
    <w:p>
      <w:pPr>
        <w:pStyle w:val="ListParagraph"/>
        <w:numPr>
          <w:ilvl w:val="1"/>
          <w:numId w:val="29"/>
        </w:numPr>
        <w:tabs>
          <w:tab w:pos="1558" w:val="left" w:leader="none"/>
        </w:tabs>
        <w:spacing w:line="240" w:lineRule="auto" w:before="36" w:after="0"/>
        <w:ind w:left="1558" w:right="0" w:hanging="282"/>
        <w:jc w:val="left"/>
        <w:rPr>
          <w:sz w:val="24"/>
        </w:rPr>
      </w:pPr>
      <w:r>
        <w:rPr>
          <w:sz w:val="24"/>
        </w:rPr>
        <w:t>Tenaga</w:t>
      </w:r>
      <w:r>
        <w:rPr>
          <w:spacing w:val="-9"/>
          <w:sz w:val="24"/>
        </w:rPr>
        <w:t> </w:t>
      </w:r>
      <w:r>
        <w:rPr>
          <w:sz w:val="24"/>
        </w:rPr>
        <w:t>Ahli</w:t>
      </w:r>
      <w:r>
        <w:rPr>
          <w:spacing w:val="-6"/>
          <w:sz w:val="24"/>
        </w:rPr>
        <w:t> </w:t>
      </w:r>
      <w:r>
        <w:rPr>
          <w:spacing w:val="-2"/>
          <w:sz w:val="24"/>
        </w:rPr>
        <w:t>Pemerintahan</w:t>
      </w:r>
    </w:p>
    <w:p>
      <w:pPr>
        <w:pStyle w:val="ListParagraph"/>
        <w:numPr>
          <w:ilvl w:val="1"/>
          <w:numId w:val="29"/>
        </w:numPr>
        <w:tabs>
          <w:tab w:pos="1558" w:val="left" w:leader="none"/>
        </w:tabs>
        <w:spacing w:line="240" w:lineRule="auto" w:before="42" w:after="0"/>
        <w:ind w:left="1558" w:right="0" w:hanging="282"/>
        <w:jc w:val="left"/>
        <w:rPr>
          <w:sz w:val="24"/>
        </w:rPr>
      </w:pPr>
      <w:r>
        <w:rPr>
          <w:sz w:val="24"/>
        </w:rPr>
        <w:t>Tenaga</w:t>
      </w:r>
      <w:r>
        <w:rPr>
          <w:spacing w:val="-7"/>
          <w:sz w:val="24"/>
        </w:rPr>
        <w:t> </w:t>
      </w:r>
      <w:r>
        <w:rPr>
          <w:sz w:val="24"/>
        </w:rPr>
        <w:t>Ahli</w:t>
      </w:r>
      <w:r>
        <w:rPr>
          <w:spacing w:val="-9"/>
          <w:sz w:val="24"/>
        </w:rPr>
        <w:t> </w:t>
      </w:r>
      <w:r>
        <w:rPr>
          <w:sz w:val="24"/>
        </w:rPr>
        <w:t>Administrasi</w:t>
      </w:r>
      <w:r>
        <w:rPr>
          <w:spacing w:val="-7"/>
          <w:sz w:val="24"/>
        </w:rPr>
        <w:t> </w:t>
      </w:r>
      <w:r>
        <w:rPr>
          <w:spacing w:val="-2"/>
          <w:sz w:val="24"/>
        </w:rPr>
        <w:t>Publik</w:t>
      </w:r>
    </w:p>
    <w:p>
      <w:pPr>
        <w:pStyle w:val="ListParagraph"/>
        <w:numPr>
          <w:ilvl w:val="1"/>
          <w:numId w:val="29"/>
        </w:numPr>
        <w:tabs>
          <w:tab w:pos="1558" w:val="left" w:leader="none"/>
        </w:tabs>
        <w:spacing w:line="240" w:lineRule="auto" w:before="36" w:after="0"/>
        <w:ind w:left="1558" w:right="0" w:hanging="282"/>
        <w:jc w:val="left"/>
        <w:rPr>
          <w:sz w:val="24"/>
        </w:rPr>
      </w:pPr>
      <w:r>
        <w:rPr>
          <w:sz w:val="24"/>
        </w:rPr>
        <w:t>Tenaga</w:t>
      </w:r>
      <w:r>
        <w:rPr>
          <w:spacing w:val="-8"/>
          <w:sz w:val="24"/>
        </w:rPr>
        <w:t> </w:t>
      </w:r>
      <w:r>
        <w:rPr>
          <w:sz w:val="24"/>
        </w:rPr>
        <w:t>Ahli</w:t>
      </w:r>
      <w:r>
        <w:rPr>
          <w:spacing w:val="-4"/>
          <w:sz w:val="24"/>
        </w:rPr>
        <w:t> Hukum</w:t>
      </w:r>
    </w:p>
    <w:p>
      <w:pPr>
        <w:pStyle w:val="BodyText"/>
        <w:jc w:val="left"/>
      </w:pPr>
    </w:p>
    <w:p>
      <w:pPr>
        <w:pStyle w:val="BodyText"/>
        <w:spacing w:before="13"/>
        <w:jc w:val="left"/>
      </w:pPr>
    </w:p>
    <w:p>
      <w:pPr>
        <w:pStyle w:val="Heading2"/>
        <w:numPr>
          <w:ilvl w:val="1"/>
          <w:numId w:val="25"/>
        </w:numPr>
        <w:tabs>
          <w:tab w:pos="977" w:val="left" w:leader="none"/>
        </w:tabs>
        <w:spacing w:line="240" w:lineRule="auto" w:before="0" w:after="0"/>
        <w:ind w:left="977" w:right="0" w:hanging="411"/>
        <w:jc w:val="both"/>
      </w:pPr>
      <w:bookmarkStart w:name="_bookmark30" w:id="31"/>
      <w:bookmarkEnd w:id="31"/>
      <w:r>
        <w:rPr>
          <w:b w:val="0"/>
        </w:rPr>
      </w:r>
      <w:r>
        <w:rPr/>
        <w:t>Kerangka</w:t>
      </w:r>
      <w:r>
        <w:rPr>
          <w:spacing w:val="-12"/>
        </w:rPr>
        <w:t> </w:t>
      </w:r>
      <w:r>
        <w:rPr>
          <w:spacing w:val="-2"/>
        </w:rPr>
        <w:t>Pikir</w:t>
      </w:r>
    </w:p>
    <w:p>
      <w:pPr>
        <w:pStyle w:val="BodyText"/>
        <w:spacing w:line="360" w:lineRule="auto" w:before="224"/>
        <w:ind w:left="854" w:right="768" w:firstLine="696"/>
      </w:pPr>
      <w:r>
        <w:rPr/>
        <w:t>Merujuk pada ketentuan Undang-Undang Nomor 3 Tahun 2022 tentang Otorita IKN sebagaimana telah diubah melalui UU Nomor 21 Tahun 2023, bahwa pembentukan IKN akan berdampak dari sisi keuangan kepada daerah yang wilayahnya merupakan wilayah IKN. Dampak dari kehadiran IKN terhadap daerah yang wilayahnya menjadi</w:t>
      </w:r>
    </w:p>
    <w:p>
      <w:pPr>
        <w:pStyle w:val="BodyText"/>
        <w:spacing w:after="0" w:line="360" w:lineRule="auto"/>
        <w:sectPr>
          <w:pgSz w:w="11910" w:h="16840"/>
          <w:pgMar w:header="0" w:footer="1186" w:top="1580" w:bottom="1380" w:left="1700" w:right="992"/>
        </w:sectPr>
      </w:pPr>
    </w:p>
    <w:p>
      <w:pPr>
        <w:pStyle w:val="BodyText"/>
        <w:spacing w:line="360" w:lineRule="auto" w:before="82"/>
        <w:ind w:left="854" w:right="768"/>
      </w:pPr>
      <w:r>
        <w:rPr/>
        <w:t>wilayah IKN secara langsung terkait dengan eksistensi Pasal 39 ayat (3) dan ayat (4). Pada ayat (3) itu disebutkan bahwa “Pemerintah Daerah Provinsi Kalimantan Timur, Pemerintah Daerah Kabupaten Kutai Kartanegara, dan Pemerintah Daerah Kabupaten Penajam Paser Utara tetap melaksanakan urusan pemerintahan daerah di wilayah sesuai dengan ketentuan peraturan perundang-undangan, kecuali kewenangan dan perizinan terkait kegiatan persiapan, pembangunan, dan pemindahan Ibu Kota Negara, sampai dengan penetapan pemindahan Ibu Kota Negara sebagaimana dimaksud pada ayat (1)”.</w:t>
      </w:r>
    </w:p>
    <w:p>
      <w:pPr>
        <w:pStyle w:val="BodyText"/>
        <w:tabs>
          <w:tab w:pos="1944" w:val="left" w:leader="none"/>
          <w:tab w:pos="2885" w:val="left" w:leader="none"/>
          <w:tab w:pos="3289" w:val="left" w:leader="none"/>
          <w:tab w:pos="4283" w:val="left" w:leader="none"/>
          <w:tab w:pos="5421" w:val="left" w:leader="none"/>
          <w:tab w:pos="6285" w:val="left" w:leader="none"/>
          <w:tab w:pos="6813" w:val="left" w:leader="none"/>
          <w:tab w:pos="7990" w:val="left" w:leader="none"/>
        </w:tabs>
        <w:spacing w:line="360" w:lineRule="auto" w:before="2"/>
        <w:ind w:left="868" w:right="761" w:firstLine="590"/>
        <w:jc w:val="right"/>
      </w:pPr>
      <w:r>
        <w:rPr/>
        <w:t>Ketentuan</w:t>
      </w:r>
      <w:r>
        <w:rPr>
          <w:spacing w:val="-12"/>
        </w:rPr>
        <w:t> </w:t>
      </w:r>
      <w:r>
        <w:rPr/>
        <w:t>tersebut</w:t>
      </w:r>
      <w:r>
        <w:rPr>
          <w:spacing w:val="-9"/>
        </w:rPr>
        <w:t> </w:t>
      </w:r>
      <w:r>
        <w:rPr/>
        <w:t>lebih</w:t>
      </w:r>
      <w:r>
        <w:rPr>
          <w:spacing w:val="-12"/>
        </w:rPr>
        <w:t> </w:t>
      </w:r>
      <w:r>
        <w:rPr/>
        <w:t>lanjut</w:t>
      </w:r>
      <w:r>
        <w:rPr>
          <w:spacing w:val="-10"/>
        </w:rPr>
        <w:t> </w:t>
      </w:r>
      <w:r>
        <w:rPr/>
        <w:t>menegaskan</w:t>
      </w:r>
      <w:r>
        <w:rPr>
          <w:spacing w:val="-11"/>
        </w:rPr>
        <w:t> </w:t>
      </w:r>
      <w:r>
        <w:rPr/>
        <w:t>bahwa</w:t>
      </w:r>
      <w:r>
        <w:rPr>
          <w:spacing w:val="-12"/>
        </w:rPr>
        <w:t> </w:t>
      </w:r>
      <w:r>
        <w:rPr/>
        <w:t>terkait</w:t>
      </w:r>
      <w:r>
        <w:rPr>
          <w:spacing w:val="-11"/>
        </w:rPr>
        <w:t> </w:t>
      </w:r>
      <w:r>
        <w:rPr/>
        <w:t>dengan urusan pemerintahan daerah, tetap ada urusan yang dilaksanakan oleh pemerintah</w:t>
      </w:r>
      <w:r>
        <w:rPr>
          <w:spacing w:val="-4"/>
        </w:rPr>
        <w:t> </w:t>
      </w:r>
      <w:r>
        <w:rPr/>
        <w:t>daerah</w:t>
      </w:r>
      <w:r>
        <w:rPr>
          <w:spacing w:val="-3"/>
        </w:rPr>
        <w:t> </w:t>
      </w:r>
      <w:r>
        <w:rPr/>
        <w:t>terhadap</w:t>
      </w:r>
      <w:r>
        <w:rPr>
          <w:spacing w:val="-4"/>
        </w:rPr>
        <w:t> </w:t>
      </w:r>
      <w:r>
        <w:rPr/>
        <w:t>penduduknya. Di satu</w:t>
      </w:r>
      <w:r>
        <w:rPr>
          <w:spacing w:val="-4"/>
        </w:rPr>
        <w:t> </w:t>
      </w:r>
      <w:r>
        <w:rPr/>
        <w:t>sisi,</w:t>
      </w:r>
      <w:r>
        <w:rPr>
          <w:spacing w:val="-3"/>
        </w:rPr>
        <w:t> </w:t>
      </w:r>
      <w:r>
        <w:rPr/>
        <w:t>penduduk</w:t>
      </w:r>
      <w:r>
        <w:rPr>
          <w:spacing w:val="-1"/>
        </w:rPr>
        <w:t> </w:t>
      </w:r>
      <w:r>
        <w:rPr/>
        <w:t>yang ada di wilayah IKN tetap menjadi tanggung jawab pemerintah daerah asal.</w:t>
      </w:r>
      <w:r>
        <w:rPr>
          <w:spacing w:val="-17"/>
        </w:rPr>
        <w:t> </w:t>
      </w:r>
      <w:r>
        <w:rPr/>
        <w:t>Namun,</w:t>
      </w:r>
      <w:r>
        <w:rPr>
          <w:spacing w:val="-16"/>
        </w:rPr>
        <w:t> </w:t>
      </w:r>
      <w:r>
        <w:rPr/>
        <w:t>di</w:t>
      </w:r>
      <w:r>
        <w:rPr>
          <w:spacing w:val="-17"/>
        </w:rPr>
        <w:t> </w:t>
      </w:r>
      <w:r>
        <w:rPr/>
        <w:t>sisi</w:t>
      </w:r>
      <w:r>
        <w:rPr>
          <w:spacing w:val="-16"/>
        </w:rPr>
        <w:t> </w:t>
      </w:r>
      <w:r>
        <w:rPr/>
        <w:t>lain,</w:t>
      </w:r>
      <w:r>
        <w:rPr>
          <w:spacing w:val="-18"/>
        </w:rPr>
        <w:t> </w:t>
      </w:r>
      <w:r>
        <w:rPr/>
        <w:t>wilayah</w:t>
      </w:r>
      <w:r>
        <w:rPr>
          <w:spacing w:val="-17"/>
        </w:rPr>
        <w:t> </w:t>
      </w:r>
      <w:r>
        <w:rPr/>
        <w:t>yang</w:t>
      </w:r>
      <w:r>
        <w:rPr>
          <w:spacing w:val="-16"/>
        </w:rPr>
        <w:t> </w:t>
      </w:r>
      <w:r>
        <w:rPr/>
        <w:t>didiami</w:t>
      </w:r>
      <w:r>
        <w:rPr>
          <w:spacing w:val="-17"/>
        </w:rPr>
        <w:t> </w:t>
      </w:r>
      <w:r>
        <w:rPr/>
        <w:t>sudah</w:t>
      </w:r>
      <w:r>
        <w:rPr>
          <w:spacing w:val="-16"/>
        </w:rPr>
        <w:t> </w:t>
      </w:r>
      <w:r>
        <w:rPr/>
        <w:t>menjadi</w:t>
      </w:r>
      <w:r>
        <w:rPr>
          <w:spacing w:val="-16"/>
        </w:rPr>
        <w:t> </w:t>
      </w:r>
      <w:r>
        <w:rPr/>
        <w:t>wilayah</w:t>
      </w:r>
      <w:r>
        <w:rPr>
          <w:spacing w:val="-17"/>
        </w:rPr>
        <w:t> </w:t>
      </w:r>
      <w:r>
        <w:rPr/>
        <w:t>IKN. Selanjutnya, Pasal 39 ayat</w:t>
      </w:r>
      <w:r>
        <w:rPr>
          <w:spacing w:val="80"/>
        </w:rPr>
        <w:t> </w:t>
      </w:r>
      <w:r>
        <w:rPr/>
        <w:t>(4)</w:t>
      </w:r>
      <w:r>
        <w:rPr>
          <w:spacing w:val="80"/>
        </w:rPr>
        <w:t> </w:t>
      </w:r>
      <w:r>
        <w:rPr/>
        <w:t>menegaskan</w:t>
      </w:r>
      <w:r>
        <w:rPr>
          <w:spacing w:val="80"/>
        </w:rPr>
        <w:t> </w:t>
      </w:r>
      <w:r>
        <w:rPr/>
        <w:t>bahwa</w:t>
      </w:r>
      <w:r>
        <w:rPr>
          <w:spacing w:val="80"/>
        </w:rPr>
        <w:t> </w:t>
      </w:r>
      <w:r>
        <w:rPr/>
        <w:t>“Pemerintah Daerah Provinsi Kalimantan Timur, Pemerintah Daerah</w:t>
      </w:r>
      <w:r>
        <w:rPr>
          <w:spacing w:val="-3"/>
        </w:rPr>
        <w:t> </w:t>
      </w:r>
      <w:r>
        <w:rPr/>
        <w:t>Kabupaten</w:t>
      </w:r>
      <w:r>
        <w:rPr>
          <w:spacing w:val="-1"/>
        </w:rPr>
        <w:t> </w:t>
      </w:r>
      <w:r>
        <w:rPr/>
        <w:t>Kutai Kartanegara, Pemerintah Daerah Kabupaten Penajam Paser Utara tetap melakukan pemungutan pajak dan retribusi daerah sesuai dengan ketentuan peraturan perundang-undangan sampai dengan penetapan pemindahan</w:t>
      </w:r>
      <w:r>
        <w:rPr>
          <w:spacing w:val="36"/>
        </w:rPr>
        <w:t> </w:t>
      </w:r>
      <w:r>
        <w:rPr/>
        <w:t>Ibu</w:t>
      </w:r>
      <w:r>
        <w:rPr>
          <w:spacing w:val="36"/>
        </w:rPr>
        <w:t> </w:t>
      </w:r>
      <w:r>
        <w:rPr/>
        <w:t>Kota</w:t>
      </w:r>
      <w:r>
        <w:rPr>
          <w:spacing w:val="35"/>
        </w:rPr>
        <w:t> </w:t>
      </w:r>
      <w:r>
        <w:rPr/>
        <w:t>Negara</w:t>
      </w:r>
      <w:r>
        <w:rPr>
          <w:spacing w:val="35"/>
        </w:rPr>
        <w:t> </w:t>
      </w:r>
      <w:r>
        <w:rPr/>
        <w:t>sebagaimana</w:t>
      </w:r>
      <w:r>
        <w:rPr>
          <w:spacing w:val="36"/>
        </w:rPr>
        <w:t> </w:t>
      </w:r>
      <w:r>
        <w:rPr/>
        <w:t>dimaksud</w:t>
      </w:r>
      <w:r>
        <w:rPr>
          <w:spacing w:val="35"/>
        </w:rPr>
        <w:t> </w:t>
      </w:r>
      <w:r>
        <w:rPr/>
        <w:t>pada</w:t>
      </w:r>
      <w:r>
        <w:rPr>
          <w:spacing w:val="35"/>
        </w:rPr>
        <w:t> </w:t>
      </w:r>
      <w:r>
        <w:rPr/>
        <w:t>ayat</w:t>
      </w:r>
      <w:r>
        <w:rPr>
          <w:spacing w:val="38"/>
        </w:rPr>
        <w:t> </w:t>
      </w:r>
      <w:r>
        <w:rPr/>
        <w:t>(1)”. Kedua</w:t>
      </w:r>
      <w:r>
        <w:rPr>
          <w:spacing w:val="40"/>
        </w:rPr>
        <w:t> </w:t>
      </w:r>
      <w:r>
        <w:rPr/>
        <w:t>ayat</w:t>
      </w:r>
      <w:r>
        <w:rPr>
          <w:spacing w:val="40"/>
        </w:rPr>
        <w:t> </w:t>
      </w:r>
      <w:r>
        <w:rPr/>
        <w:t>dalam</w:t>
      </w:r>
      <w:r>
        <w:rPr>
          <w:spacing w:val="40"/>
        </w:rPr>
        <w:t> </w:t>
      </w:r>
      <w:r>
        <w:rPr/>
        <w:t>Pasal</w:t>
      </w:r>
      <w:r>
        <w:rPr>
          <w:spacing w:val="40"/>
        </w:rPr>
        <w:t> </w:t>
      </w:r>
      <w:r>
        <w:rPr/>
        <w:t>39</w:t>
      </w:r>
      <w:r>
        <w:rPr>
          <w:spacing w:val="40"/>
        </w:rPr>
        <w:t> </w:t>
      </w:r>
      <w:r>
        <w:rPr/>
        <w:t>ini</w:t>
      </w:r>
      <w:r>
        <w:rPr>
          <w:spacing w:val="40"/>
        </w:rPr>
        <w:t> </w:t>
      </w:r>
      <w:r>
        <w:rPr/>
        <w:t>menyiratkan bahwa memang ada persoalan penduduk yang tinggal di wilayah IKN, namun harus diurusi oleh pemerintah daerah lama. Untuk itu, kepada daerah tersebut diberikan kompensasi berupa tetap melakukan pemungutan pajak dan </w:t>
      </w:r>
      <w:r>
        <w:rPr>
          <w:spacing w:val="-2"/>
        </w:rPr>
        <w:t>retribusi</w:t>
      </w:r>
      <w:r>
        <w:rPr/>
        <w:tab/>
      </w:r>
      <w:r>
        <w:rPr>
          <w:spacing w:val="-2"/>
        </w:rPr>
        <w:t>daerah</w:t>
      </w:r>
      <w:r>
        <w:rPr/>
        <w:tab/>
      </w:r>
      <w:r>
        <w:rPr>
          <w:spacing w:val="-5"/>
        </w:rPr>
        <w:t>di</w:t>
      </w:r>
      <w:r>
        <w:rPr/>
        <w:tab/>
      </w:r>
      <w:r>
        <w:rPr>
          <w:spacing w:val="-2"/>
        </w:rPr>
        <w:t>wilayah</w:t>
      </w:r>
      <w:r>
        <w:rPr/>
        <w:tab/>
      </w:r>
      <w:r>
        <w:rPr>
          <w:spacing w:val="-2"/>
        </w:rPr>
        <w:t>tersebut.</w:t>
      </w:r>
      <w:r>
        <w:rPr/>
        <w:tab/>
      </w:r>
      <w:r>
        <w:rPr>
          <w:spacing w:val="-2"/>
        </w:rPr>
        <w:t>Bagan</w:t>
      </w:r>
      <w:r>
        <w:rPr/>
        <w:tab/>
      </w:r>
      <w:r>
        <w:rPr>
          <w:spacing w:val="-4"/>
        </w:rPr>
        <w:t>alir</w:t>
      </w:r>
      <w:r>
        <w:rPr/>
        <w:tab/>
      </w:r>
      <w:r>
        <w:rPr>
          <w:spacing w:val="-2"/>
        </w:rPr>
        <w:t>kerangka</w:t>
      </w:r>
      <w:r>
        <w:rPr/>
        <w:tab/>
      </w:r>
      <w:r>
        <w:rPr>
          <w:spacing w:val="-2"/>
        </w:rPr>
        <w:t>pikir</w:t>
      </w:r>
    </w:p>
    <w:p>
      <w:pPr>
        <w:pStyle w:val="BodyText"/>
        <w:spacing w:before="2"/>
        <w:ind w:left="854"/>
      </w:pPr>
      <w:r>
        <w:rPr/>
        <w:t>sebagaimana</w:t>
      </w:r>
      <w:r>
        <w:rPr>
          <w:spacing w:val="-10"/>
        </w:rPr>
        <w:t> </w:t>
      </w:r>
      <w:r>
        <w:rPr/>
        <w:t>tersaji</w:t>
      </w:r>
      <w:r>
        <w:rPr>
          <w:spacing w:val="-8"/>
        </w:rPr>
        <w:t> </w:t>
      </w:r>
      <w:r>
        <w:rPr/>
        <w:t>dalam</w:t>
      </w:r>
      <w:r>
        <w:rPr>
          <w:spacing w:val="-8"/>
        </w:rPr>
        <w:t> </w:t>
      </w:r>
      <w:r>
        <w:rPr/>
        <w:t>Gambar</w:t>
      </w:r>
      <w:r>
        <w:rPr>
          <w:spacing w:val="-9"/>
        </w:rPr>
        <w:t> </w:t>
      </w:r>
      <w:r>
        <w:rPr>
          <w:spacing w:val="-5"/>
        </w:rPr>
        <w:t>1.</w:t>
      </w:r>
    </w:p>
    <w:p>
      <w:pPr>
        <w:pStyle w:val="BodyText"/>
        <w:spacing w:after="0"/>
        <w:sectPr>
          <w:pgSz w:w="11910" w:h="16840"/>
          <w:pgMar w:header="0" w:footer="1186" w:top="1580" w:bottom="1380" w:left="1700" w:right="992"/>
        </w:sectPr>
      </w:pPr>
    </w:p>
    <w:p>
      <w:pPr>
        <w:pStyle w:val="BodyText"/>
        <w:ind w:left="891"/>
        <w:jc w:val="left"/>
        <w:rPr>
          <w:sz w:val="20"/>
        </w:rPr>
      </w:pPr>
      <w:r>
        <w:rPr>
          <w:sz w:val="20"/>
        </w:rPr>
        <w:drawing>
          <wp:inline distT="0" distB="0" distL="0" distR="0">
            <wp:extent cx="4772614" cy="5257800"/>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772614" cy="5257800"/>
                    </a:xfrm>
                    <a:prstGeom prst="rect">
                      <a:avLst/>
                    </a:prstGeom>
                  </pic:spPr>
                </pic:pic>
              </a:graphicData>
            </a:graphic>
          </wp:inline>
        </w:drawing>
      </w:r>
      <w:r>
        <w:rPr>
          <w:sz w:val="20"/>
        </w:rPr>
      </w:r>
    </w:p>
    <w:p>
      <w:pPr>
        <w:pStyle w:val="BodyText"/>
        <w:spacing w:before="214"/>
        <w:jc w:val="left"/>
        <w:rPr>
          <w:sz w:val="22"/>
        </w:rPr>
      </w:pPr>
    </w:p>
    <w:p>
      <w:pPr>
        <w:spacing w:before="0"/>
        <w:ind w:left="1493" w:right="1628" w:firstLine="0"/>
        <w:jc w:val="center"/>
        <w:rPr>
          <w:rFonts w:ascii="Lucida Sans Unicode"/>
          <w:sz w:val="22"/>
        </w:rPr>
      </w:pPr>
      <w:bookmarkStart w:name="_bookmark31" w:id="32"/>
      <w:bookmarkEnd w:id="32"/>
      <w:r>
        <w:rPr/>
      </w:r>
      <w:r>
        <w:rPr>
          <w:rFonts w:ascii="Tahoma"/>
          <w:b/>
          <w:sz w:val="22"/>
        </w:rPr>
        <w:t>Gambar</w:t>
      </w:r>
      <w:r>
        <w:rPr>
          <w:rFonts w:ascii="Tahoma"/>
          <w:b/>
          <w:spacing w:val="-17"/>
          <w:sz w:val="22"/>
        </w:rPr>
        <w:t> </w:t>
      </w:r>
      <w:r>
        <w:rPr>
          <w:rFonts w:ascii="Tahoma"/>
          <w:b/>
          <w:sz w:val="22"/>
        </w:rPr>
        <w:t>1.</w:t>
      </w:r>
      <w:r>
        <w:rPr>
          <w:rFonts w:ascii="Tahoma"/>
          <w:b/>
          <w:spacing w:val="-16"/>
          <w:sz w:val="22"/>
        </w:rPr>
        <w:t> </w:t>
      </w:r>
      <w:r>
        <w:rPr>
          <w:rFonts w:ascii="Lucida Sans Unicode"/>
          <w:sz w:val="22"/>
        </w:rPr>
        <w:t>Kerangka</w:t>
      </w:r>
      <w:r>
        <w:rPr>
          <w:rFonts w:ascii="Lucida Sans Unicode"/>
          <w:spacing w:val="-6"/>
          <w:sz w:val="22"/>
        </w:rPr>
        <w:t> </w:t>
      </w:r>
      <w:r>
        <w:rPr>
          <w:rFonts w:ascii="Lucida Sans Unicode"/>
          <w:spacing w:val="-4"/>
          <w:sz w:val="22"/>
        </w:rPr>
        <w:t>Pikir</w:t>
      </w:r>
    </w:p>
    <w:p>
      <w:pPr>
        <w:spacing w:after="0"/>
        <w:jc w:val="center"/>
        <w:rPr>
          <w:rFonts w:ascii="Lucida Sans Unicode"/>
          <w:sz w:val="22"/>
        </w:rPr>
        <w:sectPr>
          <w:pgSz w:w="11910" w:h="16840"/>
          <w:pgMar w:header="0" w:footer="1186" w:top="1660" w:bottom="1380" w:left="1700" w:right="992"/>
        </w:sectPr>
      </w:pPr>
    </w:p>
    <w:p>
      <w:pPr>
        <w:pStyle w:val="Heading1"/>
        <w:spacing w:line="362" w:lineRule="auto"/>
        <w:ind w:left="3207" w:right="2916" w:firstLine="835"/>
        <w:jc w:val="left"/>
        <w:rPr>
          <w:rFonts w:ascii="Segoe UI"/>
        </w:rPr>
      </w:pPr>
      <w:r>
        <w:rPr>
          <w:rFonts w:ascii="Segoe UI"/>
        </w:rPr>
        <w:t>BAB IV </w:t>
      </w:r>
      <w:bookmarkStart w:name="_bookmark32" w:id="33"/>
      <w:bookmarkEnd w:id="33"/>
      <w:r>
        <w:rPr>
          <w:rFonts w:ascii="Segoe UI"/>
          <w:spacing w:val="-2"/>
        </w:rPr>
        <w:t>G</w:t>
      </w:r>
      <w:r>
        <w:rPr>
          <w:rFonts w:ascii="Segoe UI"/>
          <w:spacing w:val="-2"/>
        </w:rPr>
        <w:t>AMBARAN</w:t>
      </w:r>
      <w:r>
        <w:rPr>
          <w:rFonts w:ascii="Segoe UI"/>
          <w:spacing w:val="-18"/>
        </w:rPr>
        <w:t> </w:t>
      </w:r>
      <w:r>
        <w:rPr>
          <w:rFonts w:ascii="Segoe UI"/>
          <w:spacing w:val="-2"/>
        </w:rPr>
        <w:t>UMUM</w:t>
      </w:r>
    </w:p>
    <w:p>
      <w:pPr>
        <w:spacing w:line="367" w:lineRule="exact" w:before="0"/>
        <w:ind w:left="2179" w:right="0" w:firstLine="0"/>
        <w:jc w:val="left"/>
        <w:rPr>
          <w:b/>
          <w:sz w:val="28"/>
        </w:rPr>
      </w:pPr>
      <w:r>
        <w:rPr>
          <w:b/>
          <w:sz w:val="28"/>
        </w:rPr>
        <w:t>KABUPATEN</w:t>
      </w:r>
      <w:r>
        <w:rPr>
          <w:b/>
          <w:spacing w:val="-14"/>
          <w:sz w:val="28"/>
        </w:rPr>
        <w:t> </w:t>
      </w:r>
      <w:r>
        <w:rPr>
          <w:b/>
          <w:sz w:val="28"/>
        </w:rPr>
        <w:t>KUTAI</w:t>
      </w:r>
      <w:r>
        <w:rPr>
          <w:b/>
          <w:spacing w:val="-17"/>
          <w:sz w:val="28"/>
        </w:rPr>
        <w:t> </w:t>
      </w:r>
      <w:r>
        <w:rPr>
          <w:b/>
          <w:spacing w:val="-2"/>
          <w:sz w:val="28"/>
        </w:rPr>
        <w:t>KARTANEGARA</w:t>
      </w:r>
    </w:p>
    <w:p>
      <w:pPr>
        <w:pStyle w:val="BodyText"/>
        <w:jc w:val="left"/>
        <w:rPr>
          <w:b/>
          <w:sz w:val="28"/>
        </w:rPr>
      </w:pPr>
    </w:p>
    <w:p>
      <w:pPr>
        <w:pStyle w:val="BodyText"/>
        <w:spacing w:before="58"/>
        <w:jc w:val="left"/>
        <w:rPr>
          <w:b/>
          <w:sz w:val="28"/>
        </w:rPr>
      </w:pPr>
    </w:p>
    <w:p>
      <w:pPr>
        <w:pStyle w:val="Heading2"/>
        <w:numPr>
          <w:ilvl w:val="1"/>
          <w:numId w:val="30"/>
        </w:numPr>
        <w:tabs>
          <w:tab w:pos="977" w:val="left" w:leader="none"/>
        </w:tabs>
        <w:spacing w:line="240" w:lineRule="auto" w:before="1" w:after="0"/>
        <w:ind w:left="977" w:right="0" w:hanging="411"/>
        <w:jc w:val="both"/>
      </w:pPr>
      <w:bookmarkStart w:name="_bookmark33" w:id="34"/>
      <w:bookmarkEnd w:id="34"/>
      <w:r>
        <w:rPr>
          <w:b w:val="0"/>
        </w:rPr>
      </w:r>
      <w:r>
        <w:rPr/>
        <w:t>Gambaran</w:t>
      </w:r>
      <w:r>
        <w:rPr>
          <w:spacing w:val="-11"/>
        </w:rPr>
        <w:t> </w:t>
      </w:r>
      <w:r>
        <w:rPr/>
        <w:t>Wilayah</w:t>
      </w:r>
      <w:r>
        <w:rPr>
          <w:spacing w:val="-7"/>
        </w:rPr>
        <w:t> </w:t>
      </w:r>
      <w:r>
        <w:rPr/>
        <w:t>Kabupaten</w:t>
      </w:r>
      <w:r>
        <w:rPr>
          <w:spacing w:val="-9"/>
        </w:rPr>
        <w:t> </w:t>
      </w:r>
      <w:r>
        <w:rPr/>
        <w:t>Kutai</w:t>
      </w:r>
      <w:r>
        <w:rPr>
          <w:spacing w:val="-5"/>
        </w:rPr>
        <w:t> </w:t>
      </w:r>
      <w:r>
        <w:rPr/>
        <w:t>Kartanegara</w:t>
      </w:r>
      <w:r>
        <w:rPr>
          <w:spacing w:val="-6"/>
        </w:rPr>
        <w:t> </w:t>
      </w:r>
      <w:r>
        <w:rPr/>
        <w:t>Sebelum</w:t>
      </w:r>
      <w:r>
        <w:rPr>
          <w:spacing w:val="-2"/>
        </w:rPr>
        <w:t> </w:t>
      </w:r>
      <w:r>
        <w:rPr>
          <w:spacing w:val="-5"/>
        </w:rPr>
        <w:t>IKN</w:t>
      </w:r>
    </w:p>
    <w:p>
      <w:pPr>
        <w:pStyle w:val="BodyText"/>
        <w:spacing w:line="360" w:lineRule="auto" w:before="223"/>
        <w:ind w:left="993" w:right="700" w:firstLine="710"/>
      </w:pPr>
      <w:r>
        <w:rPr/>
        <w:t>Kabupaten</w:t>
      </w:r>
      <w:r>
        <w:rPr>
          <w:spacing w:val="-17"/>
        </w:rPr>
        <w:t> </w:t>
      </w:r>
      <w:r>
        <w:rPr/>
        <w:t>Kutai</w:t>
      </w:r>
      <w:r>
        <w:rPr>
          <w:spacing w:val="-15"/>
        </w:rPr>
        <w:t> </w:t>
      </w:r>
      <w:r>
        <w:rPr/>
        <w:t>Kartanegara</w:t>
      </w:r>
      <w:r>
        <w:rPr>
          <w:spacing w:val="-17"/>
        </w:rPr>
        <w:t> </w:t>
      </w:r>
      <w:r>
        <w:rPr/>
        <w:t>adalah</w:t>
      </w:r>
      <w:r>
        <w:rPr>
          <w:spacing w:val="-16"/>
        </w:rPr>
        <w:t> </w:t>
      </w:r>
      <w:r>
        <w:rPr/>
        <w:t>sebuah</w:t>
      </w:r>
      <w:r>
        <w:rPr>
          <w:spacing w:val="-16"/>
        </w:rPr>
        <w:t> </w:t>
      </w:r>
      <w:r>
        <w:rPr/>
        <w:t>daerah</w:t>
      </w:r>
      <w:r>
        <w:rPr>
          <w:spacing w:val="-16"/>
        </w:rPr>
        <w:t> </w:t>
      </w:r>
      <w:r>
        <w:rPr/>
        <w:t>otonomhasil pemekaran dari Kabupaten Kutai. Berdasarkan UU Nomor 47</w:t>
      </w:r>
      <w:r>
        <w:rPr>
          <w:spacing w:val="-17"/>
        </w:rPr>
        <w:t> </w:t>
      </w:r>
      <w:r>
        <w:rPr/>
        <w:t>Tahun 1999 Kabupaten Kutai dimekarkan menjadi 4 daerah otonom, yakni Kabupaten Kutai dengan ibu kota Tenggarong, Kabupaten Kutai Barat dengan ibukota Sendawar, Kabupaten Kutai Timur dengan ibukota Sengata,</w:t>
      </w:r>
      <w:r>
        <w:rPr>
          <w:spacing w:val="-4"/>
        </w:rPr>
        <w:t> </w:t>
      </w:r>
      <w:r>
        <w:rPr/>
        <w:t>dan</w:t>
      </w:r>
      <w:r>
        <w:rPr>
          <w:spacing w:val="-6"/>
        </w:rPr>
        <w:t> </w:t>
      </w:r>
      <w:r>
        <w:rPr/>
        <w:t>Kota</w:t>
      </w:r>
      <w:r>
        <w:rPr>
          <w:spacing w:val="-6"/>
        </w:rPr>
        <w:t> </w:t>
      </w:r>
      <w:r>
        <w:rPr/>
        <w:t>Bontang</w:t>
      </w:r>
      <w:r>
        <w:rPr>
          <w:spacing w:val="-6"/>
        </w:rPr>
        <w:t> </w:t>
      </w:r>
      <w:r>
        <w:rPr/>
        <w:t>dengan</w:t>
      </w:r>
      <w:r>
        <w:rPr>
          <w:spacing w:val="-6"/>
        </w:rPr>
        <w:t> </w:t>
      </w:r>
      <w:r>
        <w:rPr/>
        <w:t>ibukota</w:t>
      </w:r>
      <w:r>
        <w:rPr>
          <w:spacing w:val="-6"/>
        </w:rPr>
        <w:t> </w:t>
      </w:r>
      <w:r>
        <w:rPr/>
        <w:t>Bontang.</w:t>
      </w:r>
      <w:r>
        <w:rPr>
          <w:spacing w:val="-4"/>
        </w:rPr>
        <w:t> </w:t>
      </w:r>
      <w:r>
        <w:rPr/>
        <w:t>Pada tahun</w:t>
      </w:r>
      <w:r>
        <w:rPr>
          <w:spacing w:val="-5"/>
        </w:rPr>
        <w:t> </w:t>
      </w:r>
      <w:r>
        <w:rPr/>
        <w:t>2000, Presiden RI Abdurrahman Wahid mengusulkan agar Kabupaten Kutai hasil pemekaran menggunakan nama Kutai Kartanegara. Baru pada tahun 2000, berdasakan Peraturan Pemerintah Nomor 8 Tahun 2002 tentang Perubahan Nama Kabupaten Kutai menjadi Kabupaten Kutai Kartanegara, nama Kabupaten Kutai Kartanegara resmi digunakan </w:t>
      </w:r>
      <w:r>
        <w:rPr>
          <w:spacing w:val="-2"/>
        </w:rPr>
        <w:t>(kukarkab.go.id).</w:t>
      </w:r>
    </w:p>
    <w:p>
      <w:pPr>
        <w:pStyle w:val="BodyText"/>
        <w:spacing w:line="360" w:lineRule="auto" w:before="1"/>
        <w:ind w:left="993" w:right="700" w:firstLine="710"/>
      </w:pPr>
      <w:r>
        <w:rPr/>
        <w:t>Kabupaten Kutai Kartanegara terletak antara 1150 13’55” Bujur Timur sampai dengan 1170 41’4” Bujur Timur dan 10 31’52” Lintang Utara sampai dengan 10 10’23” Lintang Selatan. Berdasarkan validasi perhitungan Dirjen Bina Administrasi Kewilayahan Kementerian Dalam Negeri pada 14 September 2021, luas wilayah Kabupaten Kutai Kartanegara terdiri atas luas wilayah daratan ± 26.867,51 km2 dan luas wilayah laut ±1.868.356 km2, dengan total luas wilayah ± 28.735,87 km2. Pembagian wilayah administrasi Kabupaten Kutai Kartanegara mengalami pertambahan, hingga pada tahun 2023 terdapat 20 kecamatan dengan 193 desa dan 44 kelurahan (lihat Tabel 5).</w:t>
      </w:r>
    </w:p>
    <w:p>
      <w:pPr>
        <w:pStyle w:val="BodyText"/>
        <w:spacing w:after="0" w:line="360" w:lineRule="auto"/>
        <w:sectPr>
          <w:pgSz w:w="11910" w:h="16840"/>
          <w:pgMar w:header="0" w:footer="1186" w:top="1580" w:bottom="1380" w:left="1700" w:right="992"/>
        </w:sectPr>
      </w:pPr>
    </w:p>
    <w:p>
      <w:pPr>
        <w:spacing w:line="235" w:lineRule="auto" w:before="240"/>
        <w:ind w:left="2890" w:right="0" w:hanging="1965"/>
        <w:jc w:val="left"/>
        <w:rPr>
          <w:rFonts w:ascii="Lucida Sans Unicode"/>
          <w:sz w:val="22"/>
        </w:rPr>
      </w:pPr>
      <w:bookmarkStart w:name="_bookmark34" w:id="35"/>
      <w:bookmarkEnd w:id="35"/>
      <w:r>
        <w:rPr/>
      </w:r>
      <w:r>
        <w:rPr>
          <w:rFonts w:ascii="Tahoma"/>
          <w:b/>
          <w:w w:val="105"/>
          <w:sz w:val="22"/>
        </w:rPr>
        <w:t>Tabel</w:t>
      </w:r>
      <w:r>
        <w:rPr>
          <w:rFonts w:ascii="Tahoma"/>
          <w:b/>
          <w:spacing w:val="-10"/>
          <w:w w:val="105"/>
          <w:sz w:val="22"/>
        </w:rPr>
        <w:t> </w:t>
      </w:r>
      <w:r>
        <w:rPr>
          <w:rFonts w:ascii="Tahoma"/>
          <w:b/>
          <w:w w:val="105"/>
          <w:sz w:val="22"/>
        </w:rPr>
        <w:t>5.</w:t>
      </w:r>
      <w:r>
        <w:rPr>
          <w:rFonts w:ascii="Tahoma"/>
          <w:b/>
          <w:spacing w:val="-1"/>
          <w:w w:val="105"/>
          <w:sz w:val="22"/>
        </w:rPr>
        <w:t> </w:t>
      </w:r>
      <w:r>
        <w:rPr>
          <w:rFonts w:ascii="Lucida Sans Unicode"/>
          <w:w w:val="105"/>
          <w:sz w:val="22"/>
        </w:rPr>
        <w:t>Luas</w:t>
      </w:r>
      <w:r>
        <w:rPr>
          <w:rFonts w:ascii="Lucida Sans Unicode"/>
          <w:spacing w:val="-8"/>
          <w:w w:val="105"/>
          <w:sz w:val="22"/>
        </w:rPr>
        <w:t> </w:t>
      </w:r>
      <w:r>
        <w:rPr>
          <w:rFonts w:ascii="Lucida Sans Unicode"/>
          <w:w w:val="105"/>
          <w:sz w:val="22"/>
        </w:rPr>
        <w:t>Wilayah</w:t>
      </w:r>
      <w:r>
        <w:rPr>
          <w:rFonts w:ascii="Lucida Sans Unicode"/>
          <w:spacing w:val="-4"/>
          <w:w w:val="105"/>
          <w:sz w:val="22"/>
        </w:rPr>
        <w:t> </w:t>
      </w:r>
      <w:r>
        <w:rPr>
          <w:rFonts w:ascii="Lucida Sans Unicode"/>
          <w:w w:val="105"/>
          <w:sz w:val="22"/>
        </w:rPr>
        <w:t>Kecamatan</w:t>
      </w:r>
      <w:r>
        <w:rPr>
          <w:rFonts w:ascii="Lucida Sans Unicode"/>
          <w:spacing w:val="-4"/>
          <w:w w:val="105"/>
          <w:sz w:val="22"/>
        </w:rPr>
        <w:t> </w:t>
      </w:r>
      <w:r>
        <w:rPr>
          <w:rFonts w:ascii="Lucida Sans Unicode"/>
          <w:w w:val="105"/>
          <w:sz w:val="22"/>
        </w:rPr>
        <w:t>dan</w:t>
      </w:r>
      <w:r>
        <w:rPr>
          <w:rFonts w:ascii="Lucida Sans Unicode"/>
          <w:spacing w:val="-5"/>
          <w:w w:val="105"/>
          <w:sz w:val="22"/>
        </w:rPr>
        <w:t> </w:t>
      </w:r>
      <w:r>
        <w:rPr>
          <w:rFonts w:ascii="Lucida Sans Unicode"/>
          <w:w w:val="105"/>
          <w:sz w:val="22"/>
        </w:rPr>
        <w:t>Jumlah</w:t>
      </w:r>
      <w:r>
        <w:rPr>
          <w:rFonts w:ascii="Lucida Sans Unicode"/>
          <w:spacing w:val="-5"/>
          <w:w w:val="105"/>
          <w:sz w:val="22"/>
        </w:rPr>
        <w:t> </w:t>
      </w:r>
      <w:r>
        <w:rPr>
          <w:rFonts w:ascii="Lucida Sans Unicode"/>
          <w:w w:val="105"/>
          <w:sz w:val="22"/>
        </w:rPr>
        <w:t>Desa/Kelurahan</w:t>
      </w:r>
      <w:r>
        <w:rPr>
          <w:rFonts w:ascii="Lucida Sans Unicode"/>
          <w:spacing w:val="-4"/>
          <w:w w:val="105"/>
          <w:sz w:val="22"/>
        </w:rPr>
        <w:t> </w:t>
      </w:r>
      <w:r>
        <w:rPr>
          <w:rFonts w:ascii="Lucida Sans Unicode"/>
          <w:w w:val="105"/>
          <w:sz w:val="22"/>
        </w:rPr>
        <w:t>di Kabupaten Kutai Kartanegara</w:t>
      </w:r>
    </w:p>
    <w:p>
      <w:pPr>
        <w:pStyle w:val="BodyText"/>
        <w:spacing w:before="5"/>
        <w:jc w:val="left"/>
        <w:rPr>
          <w:rFonts w:ascii="Lucida Sans Unicode"/>
          <w:sz w:val="11"/>
        </w:rPr>
      </w:pPr>
    </w:p>
    <w:tbl>
      <w:tblPr>
        <w:tblW w:w="0" w:type="auto"/>
        <w:jc w:val="left"/>
        <w:tblInd w:w="588"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top w:w="0" w:type="dxa"/>
          <w:left w:w="0" w:type="dxa"/>
          <w:bottom w:w="0" w:type="dxa"/>
          <w:right w:w="0" w:type="dxa"/>
        </w:tblCellMar>
        <w:tblLook w:val="01E0"/>
      </w:tblPr>
      <w:tblGrid>
        <w:gridCol w:w="701"/>
        <w:gridCol w:w="2238"/>
        <w:gridCol w:w="1493"/>
        <w:gridCol w:w="1494"/>
        <w:gridCol w:w="2007"/>
      </w:tblGrid>
      <w:tr>
        <w:trPr>
          <w:trHeight w:val="1300" w:hRule="atLeast"/>
        </w:trPr>
        <w:tc>
          <w:tcPr>
            <w:tcW w:w="701" w:type="dxa"/>
            <w:tcBorders>
              <w:top w:val="nil"/>
              <w:left w:val="nil"/>
              <w:bottom w:val="nil"/>
              <w:right w:val="nil"/>
            </w:tcBorders>
            <w:shd w:val="clear" w:color="auto" w:fill="4F81BB"/>
          </w:tcPr>
          <w:p>
            <w:pPr>
              <w:pStyle w:val="TableParagraph"/>
              <w:spacing w:before="10"/>
              <w:ind w:left="115"/>
              <w:rPr>
                <w:b/>
                <w:sz w:val="24"/>
              </w:rPr>
            </w:pPr>
            <w:r>
              <w:rPr>
                <w:b/>
                <w:spacing w:val="-5"/>
                <w:sz w:val="24"/>
              </w:rPr>
              <w:t>No.</w:t>
            </w:r>
          </w:p>
        </w:tc>
        <w:tc>
          <w:tcPr>
            <w:tcW w:w="2238" w:type="dxa"/>
            <w:tcBorders>
              <w:top w:val="nil"/>
              <w:left w:val="nil"/>
              <w:bottom w:val="nil"/>
              <w:right w:val="nil"/>
            </w:tcBorders>
            <w:shd w:val="clear" w:color="auto" w:fill="4F81BB"/>
          </w:tcPr>
          <w:p>
            <w:pPr>
              <w:pStyle w:val="TableParagraph"/>
              <w:spacing w:before="10"/>
              <w:ind w:left="115"/>
              <w:rPr>
                <w:b/>
                <w:sz w:val="24"/>
              </w:rPr>
            </w:pPr>
            <w:r>
              <w:rPr>
                <w:b/>
                <w:spacing w:val="-2"/>
                <w:sz w:val="24"/>
              </w:rPr>
              <w:t>Kecamatan</w:t>
            </w:r>
          </w:p>
        </w:tc>
        <w:tc>
          <w:tcPr>
            <w:tcW w:w="1493" w:type="dxa"/>
            <w:tcBorders>
              <w:top w:val="nil"/>
              <w:left w:val="nil"/>
              <w:bottom w:val="nil"/>
              <w:right w:val="nil"/>
            </w:tcBorders>
            <w:shd w:val="clear" w:color="auto" w:fill="4F81BB"/>
          </w:tcPr>
          <w:p>
            <w:pPr>
              <w:pStyle w:val="TableParagraph"/>
              <w:ind w:left="297" w:right="286"/>
              <w:jc w:val="center"/>
              <w:rPr>
                <w:b/>
                <w:sz w:val="24"/>
              </w:rPr>
            </w:pPr>
            <w:r>
              <w:rPr>
                <w:b/>
                <w:spacing w:val="-4"/>
                <w:sz w:val="24"/>
              </w:rPr>
              <w:t>Luas </w:t>
            </w:r>
            <w:r>
              <w:rPr>
                <w:b/>
                <w:spacing w:val="-2"/>
                <w:sz w:val="24"/>
              </w:rPr>
              <w:t>Wilayah Daratan (km2)</w:t>
            </w:r>
          </w:p>
        </w:tc>
        <w:tc>
          <w:tcPr>
            <w:tcW w:w="1494" w:type="dxa"/>
            <w:tcBorders>
              <w:top w:val="nil"/>
              <w:left w:val="nil"/>
              <w:bottom w:val="nil"/>
              <w:right w:val="nil"/>
            </w:tcBorders>
            <w:shd w:val="clear" w:color="auto" w:fill="4F81BB"/>
          </w:tcPr>
          <w:p>
            <w:pPr>
              <w:pStyle w:val="TableParagraph"/>
              <w:spacing w:before="10"/>
              <w:ind w:left="143" w:right="126" w:firstLine="2"/>
              <w:jc w:val="center"/>
              <w:rPr>
                <w:b/>
                <w:sz w:val="24"/>
              </w:rPr>
            </w:pPr>
            <w:r>
              <w:rPr>
                <w:b/>
                <w:spacing w:val="-4"/>
                <w:sz w:val="24"/>
              </w:rPr>
              <w:t>Luas </w:t>
            </w:r>
            <w:r>
              <w:rPr>
                <w:b/>
                <w:spacing w:val="-2"/>
                <w:sz w:val="24"/>
              </w:rPr>
              <w:t>Wilayah </w:t>
            </w:r>
            <w:r>
              <w:rPr>
                <w:b/>
                <w:sz w:val="24"/>
              </w:rPr>
              <w:t>Laut</w:t>
            </w:r>
            <w:r>
              <w:rPr>
                <w:b/>
                <w:spacing w:val="-17"/>
                <w:sz w:val="24"/>
              </w:rPr>
              <w:t> </w:t>
            </w:r>
            <w:r>
              <w:rPr>
                <w:b/>
                <w:sz w:val="24"/>
              </w:rPr>
              <w:t>(km2)</w:t>
            </w:r>
          </w:p>
        </w:tc>
        <w:tc>
          <w:tcPr>
            <w:tcW w:w="2007" w:type="dxa"/>
            <w:tcBorders>
              <w:top w:val="nil"/>
              <w:left w:val="nil"/>
              <w:bottom w:val="nil"/>
              <w:right w:val="nil"/>
            </w:tcBorders>
            <w:shd w:val="clear" w:color="auto" w:fill="4F81BB"/>
          </w:tcPr>
          <w:p>
            <w:pPr>
              <w:pStyle w:val="TableParagraph"/>
              <w:spacing w:line="242" w:lineRule="auto" w:before="10"/>
              <w:ind w:left="114" w:right="103" w:firstLine="489"/>
              <w:rPr>
                <w:b/>
                <w:sz w:val="24"/>
              </w:rPr>
            </w:pPr>
            <w:r>
              <w:rPr>
                <w:b/>
                <w:spacing w:val="-2"/>
                <w:sz w:val="24"/>
              </w:rPr>
              <w:t>Jumlah Desa/Kelurahan</w:t>
            </w:r>
          </w:p>
        </w:tc>
      </w:tr>
      <w:tr>
        <w:trPr>
          <w:trHeight w:val="317" w:hRule="atLeast"/>
        </w:trPr>
        <w:tc>
          <w:tcPr>
            <w:tcW w:w="701" w:type="dxa"/>
            <w:tcBorders>
              <w:top w:val="nil"/>
            </w:tcBorders>
            <w:shd w:val="clear" w:color="auto" w:fill="DBE3EF"/>
          </w:tcPr>
          <w:p>
            <w:pPr>
              <w:pStyle w:val="TableParagraph"/>
              <w:spacing w:line="297" w:lineRule="exact"/>
              <w:ind w:left="110"/>
              <w:rPr>
                <w:b/>
                <w:sz w:val="24"/>
              </w:rPr>
            </w:pPr>
            <w:r>
              <w:rPr>
                <w:b/>
                <w:spacing w:val="-5"/>
                <w:sz w:val="24"/>
              </w:rPr>
              <w:t>1.</w:t>
            </w:r>
          </w:p>
        </w:tc>
        <w:tc>
          <w:tcPr>
            <w:tcW w:w="2238" w:type="dxa"/>
            <w:tcBorders>
              <w:top w:val="nil"/>
            </w:tcBorders>
            <w:shd w:val="clear" w:color="auto" w:fill="DBE3EF"/>
          </w:tcPr>
          <w:p>
            <w:pPr>
              <w:pStyle w:val="TableParagraph"/>
              <w:spacing w:line="297" w:lineRule="exact"/>
              <w:ind w:left="110"/>
              <w:rPr>
                <w:sz w:val="24"/>
              </w:rPr>
            </w:pPr>
            <w:r>
              <w:rPr>
                <w:sz w:val="24"/>
              </w:rPr>
              <w:t>Muara</w:t>
            </w:r>
            <w:r>
              <w:rPr>
                <w:spacing w:val="-7"/>
                <w:sz w:val="24"/>
              </w:rPr>
              <w:t> </w:t>
            </w:r>
            <w:r>
              <w:rPr>
                <w:spacing w:val="-2"/>
                <w:sz w:val="24"/>
              </w:rPr>
              <w:t>Muntai</w:t>
            </w:r>
          </w:p>
        </w:tc>
        <w:tc>
          <w:tcPr>
            <w:tcW w:w="1493" w:type="dxa"/>
            <w:tcBorders>
              <w:top w:val="nil"/>
            </w:tcBorders>
            <w:shd w:val="clear" w:color="auto" w:fill="DBE3EF"/>
          </w:tcPr>
          <w:p>
            <w:pPr>
              <w:pStyle w:val="TableParagraph"/>
              <w:spacing w:line="297" w:lineRule="exact"/>
              <w:ind w:right="89"/>
              <w:jc w:val="right"/>
              <w:rPr>
                <w:sz w:val="24"/>
              </w:rPr>
            </w:pPr>
            <w:r>
              <w:rPr>
                <w:spacing w:val="-2"/>
                <w:sz w:val="24"/>
              </w:rPr>
              <w:t>947,29</w:t>
            </w:r>
          </w:p>
        </w:tc>
        <w:tc>
          <w:tcPr>
            <w:tcW w:w="1494" w:type="dxa"/>
            <w:tcBorders>
              <w:top w:val="nil"/>
            </w:tcBorders>
            <w:shd w:val="clear" w:color="auto" w:fill="DBE3EF"/>
          </w:tcPr>
          <w:p>
            <w:pPr>
              <w:pStyle w:val="TableParagraph"/>
              <w:spacing w:line="297" w:lineRule="exact"/>
              <w:ind w:right="90"/>
              <w:jc w:val="right"/>
              <w:rPr>
                <w:sz w:val="24"/>
              </w:rPr>
            </w:pPr>
            <w:r>
              <w:rPr>
                <w:spacing w:val="-10"/>
                <w:sz w:val="24"/>
              </w:rPr>
              <w:t>-</w:t>
            </w:r>
          </w:p>
        </w:tc>
        <w:tc>
          <w:tcPr>
            <w:tcW w:w="2007" w:type="dxa"/>
            <w:tcBorders>
              <w:top w:val="nil"/>
            </w:tcBorders>
            <w:shd w:val="clear" w:color="auto" w:fill="DBE3EF"/>
          </w:tcPr>
          <w:p>
            <w:pPr>
              <w:pStyle w:val="TableParagraph"/>
              <w:spacing w:line="297" w:lineRule="exact"/>
              <w:ind w:left="13" w:right="5"/>
              <w:jc w:val="center"/>
              <w:rPr>
                <w:sz w:val="24"/>
              </w:rPr>
            </w:pPr>
            <w:r>
              <w:rPr>
                <w:spacing w:val="-5"/>
                <w:sz w:val="24"/>
              </w:rPr>
              <w:t>13</w:t>
            </w:r>
          </w:p>
        </w:tc>
      </w:tr>
      <w:tr>
        <w:trPr>
          <w:trHeight w:val="316" w:hRule="atLeast"/>
        </w:trPr>
        <w:tc>
          <w:tcPr>
            <w:tcW w:w="701" w:type="dxa"/>
          </w:tcPr>
          <w:p>
            <w:pPr>
              <w:pStyle w:val="TableParagraph"/>
              <w:spacing w:line="296" w:lineRule="exact"/>
              <w:ind w:left="110"/>
              <w:rPr>
                <w:b/>
                <w:sz w:val="24"/>
              </w:rPr>
            </w:pPr>
            <w:r>
              <w:rPr>
                <w:b/>
                <w:spacing w:val="-5"/>
                <w:sz w:val="24"/>
              </w:rPr>
              <w:t>2.</w:t>
            </w:r>
          </w:p>
        </w:tc>
        <w:tc>
          <w:tcPr>
            <w:tcW w:w="2238" w:type="dxa"/>
          </w:tcPr>
          <w:p>
            <w:pPr>
              <w:pStyle w:val="TableParagraph"/>
              <w:spacing w:line="296" w:lineRule="exact"/>
              <w:ind w:left="110"/>
              <w:rPr>
                <w:sz w:val="24"/>
              </w:rPr>
            </w:pPr>
            <w:r>
              <w:rPr>
                <w:sz w:val="24"/>
              </w:rPr>
              <w:t>Loa</w:t>
            </w:r>
            <w:r>
              <w:rPr>
                <w:spacing w:val="-1"/>
                <w:sz w:val="24"/>
              </w:rPr>
              <w:t> </w:t>
            </w:r>
            <w:r>
              <w:rPr>
                <w:spacing w:val="-4"/>
                <w:sz w:val="24"/>
              </w:rPr>
              <w:t>Kulu</w:t>
            </w:r>
          </w:p>
        </w:tc>
        <w:tc>
          <w:tcPr>
            <w:tcW w:w="1493" w:type="dxa"/>
          </w:tcPr>
          <w:p>
            <w:pPr>
              <w:pStyle w:val="TableParagraph"/>
              <w:spacing w:line="296" w:lineRule="exact"/>
              <w:ind w:right="85"/>
              <w:jc w:val="right"/>
              <w:rPr>
                <w:sz w:val="24"/>
              </w:rPr>
            </w:pPr>
            <w:r>
              <w:rPr>
                <w:spacing w:val="-2"/>
                <w:sz w:val="24"/>
              </w:rPr>
              <w:t>1.615,13</w:t>
            </w:r>
          </w:p>
        </w:tc>
        <w:tc>
          <w:tcPr>
            <w:tcW w:w="1494" w:type="dxa"/>
          </w:tcPr>
          <w:p>
            <w:pPr>
              <w:pStyle w:val="TableParagraph"/>
              <w:spacing w:line="296" w:lineRule="exact"/>
              <w:ind w:right="90"/>
              <w:jc w:val="right"/>
              <w:rPr>
                <w:sz w:val="24"/>
              </w:rPr>
            </w:pPr>
            <w:r>
              <w:rPr>
                <w:spacing w:val="-10"/>
                <w:sz w:val="24"/>
              </w:rPr>
              <w:t>-</w:t>
            </w:r>
          </w:p>
        </w:tc>
        <w:tc>
          <w:tcPr>
            <w:tcW w:w="2007" w:type="dxa"/>
          </w:tcPr>
          <w:p>
            <w:pPr>
              <w:pStyle w:val="TableParagraph"/>
              <w:spacing w:line="296" w:lineRule="exact"/>
              <w:ind w:left="13" w:right="5"/>
              <w:jc w:val="center"/>
              <w:rPr>
                <w:sz w:val="24"/>
              </w:rPr>
            </w:pPr>
            <w:r>
              <w:rPr>
                <w:spacing w:val="-5"/>
                <w:sz w:val="24"/>
              </w:rPr>
              <w:t>15</w:t>
            </w:r>
          </w:p>
        </w:tc>
      </w:tr>
      <w:tr>
        <w:trPr>
          <w:trHeight w:val="321" w:hRule="atLeast"/>
        </w:trPr>
        <w:tc>
          <w:tcPr>
            <w:tcW w:w="701" w:type="dxa"/>
            <w:shd w:val="clear" w:color="auto" w:fill="DBE3EF"/>
          </w:tcPr>
          <w:p>
            <w:pPr>
              <w:pStyle w:val="TableParagraph"/>
              <w:spacing w:line="301" w:lineRule="exact"/>
              <w:ind w:left="110"/>
              <w:rPr>
                <w:b/>
                <w:sz w:val="24"/>
              </w:rPr>
            </w:pPr>
            <w:r>
              <w:rPr>
                <w:b/>
                <w:spacing w:val="-5"/>
                <w:sz w:val="24"/>
              </w:rPr>
              <w:t>3.</w:t>
            </w:r>
          </w:p>
        </w:tc>
        <w:tc>
          <w:tcPr>
            <w:tcW w:w="2238" w:type="dxa"/>
            <w:shd w:val="clear" w:color="auto" w:fill="DBE3EF"/>
          </w:tcPr>
          <w:p>
            <w:pPr>
              <w:pStyle w:val="TableParagraph"/>
              <w:spacing w:line="301" w:lineRule="exact"/>
              <w:ind w:left="110"/>
              <w:rPr>
                <w:sz w:val="24"/>
              </w:rPr>
            </w:pPr>
            <w:r>
              <w:rPr>
                <w:sz w:val="24"/>
              </w:rPr>
              <w:t>Loa</w:t>
            </w:r>
            <w:r>
              <w:rPr>
                <w:spacing w:val="-1"/>
                <w:sz w:val="24"/>
              </w:rPr>
              <w:t> </w:t>
            </w:r>
            <w:r>
              <w:rPr>
                <w:spacing w:val="-2"/>
                <w:sz w:val="24"/>
              </w:rPr>
              <w:t>Janan</w:t>
            </w:r>
          </w:p>
        </w:tc>
        <w:tc>
          <w:tcPr>
            <w:tcW w:w="1493" w:type="dxa"/>
            <w:shd w:val="clear" w:color="auto" w:fill="DBE3EF"/>
          </w:tcPr>
          <w:p>
            <w:pPr>
              <w:pStyle w:val="TableParagraph"/>
              <w:spacing w:line="301" w:lineRule="exact"/>
              <w:ind w:right="89"/>
              <w:jc w:val="right"/>
              <w:rPr>
                <w:sz w:val="24"/>
              </w:rPr>
            </w:pPr>
            <w:r>
              <w:rPr>
                <w:spacing w:val="-2"/>
                <w:sz w:val="24"/>
              </w:rPr>
              <w:t>698,99</w:t>
            </w:r>
          </w:p>
        </w:tc>
        <w:tc>
          <w:tcPr>
            <w:tcW w:w="1494" w:type="dxa"/>
            <w:shd w:val="clear" w:color="auto" w:fill="DBE3EF"/>
          </w:tcPr>
          <w:p>
            <w:pPr>
              <w:pStyle w:val="TableParagraph"/>
              <w:spacing w:line="301" w:lineRule="exact"/>
              <w:ind w:right="90"/>
              <w:jc w:val="right"/>
              <w:rPr>
                <w:sz w:val="24"/>
              </w:rPr>
            </w:pPr>
            <w:r>
              <w:rPr>
                <w:spacing w:val="-10"/>
                <w:sz w:val="24"/>
              </w:rPr>
              <w:t>-</w:t>
            </w:r>
          </w:p>
        </w:tc>
        <w:tc>
          <w:tcPr>
            <w:tcW w:w="2007" w:type="dxa"/>
            <w:shd w:val="clear" w:color="auto" w:fill="DBE3EF"/>
          </w:tcPr>
          <w:p>
            <w:pPr>
              <w:pStyle w:val="TableParagraph"/>
              <w:spacing w:line="301" w:lineRule="exact"/>
              <w:ind w:left="13" w:right="1"/>
              <w:jc w:val="center"/>
              <w:rPr>
                <w:sz w:val="24"/>
              </w:rPr>
            </w:pPr>
            <w:r>
              <w:rPr>
                <w:spacing w:val="-10"/>
                <w:sz w:val="24"/>
              </w:rPr>
              <w:t>8</w:t>
            </w:r>
          </w:p>
        </w:tc>
      </w:tr>
      <w:tr>
        <w:trPr>
          <w:trHeight w:val="316" w:hRule="atLeast"/>
        </w:trPr>
        <w:tc>
          <w:tcPr>
            <w:tcW w:w="701" w:type="dxa"/>
          </w:tcPr>
          <w:p>
            <w:pPr>
              <w:pStyle w:val="TableParagraph"/>
              <w:spacing w:line="296" w:lineRule="exact"/>
              <w:ind w:left="110"/>
              <w:rPr>
                <w:b/>
                <w:sz w:val="24"/>
              </w:rPr>
            </w:pPr>
            <w:r>
              <w:rPr>
                <w:b/>
                <w:spacing w:val="-5"/>
                <w:sz w:val="24"/>
              </w:rPr>
              <w:t>4.</w:t>
            </w:r>
          </w:p>
        </w:tc>
        <w:tc>
          <w:tcPr>
            <w:tcW w:w="2238" w:type="dxa"/>
          </w:tcPr>
          <w:p>
            <w:pPr>
              <w:pStyle w:val="TableParagraph"/>
              <w:spacing w:line="296" w:lineRule="exact"/>
              <w:ind w:left="110"/>
              <w:rPr>
                <w:sz w:val="24"/>
              </w:rPr>
            </w:pPr>
            <w:r>
              <w:rPr>
                <w:spacing w:val="-2"/>
                <w:sz w:val="24"/>
              </w:rPr>
              <w:t>Anggana</w:t>
            </w:r>
          </w:p>
        </w:tc>
        <w:tc>
          <w:tcPr>
            <w:tcW w:w="1493" w:type="dxa"/>
          </w:tcPr>
          <w:p>
            <w:pPr>
              <w:pStyle w:val="TableParagraph"/>
              <w:spacing w:line="296" w:lineRule="exact"/>
              <w:ind w:right="85"/>
              <w:jc w:val="right"/>
              <w:rPr>
                <w:sz w:val="24"/>
              </w:rPr>
            </w:pPr>
            <w:r>
              <w:rPr>
                <w:spacing w:val="-2"/>
                <w:sz w:val="24"/>
              </w:rPr>
              <w:t>1.017,39</w:t>
            </w:r>
          </w:p>
        </w:tc>
        <w:tc>
          <w:tcPr>
            <w:tcW w:w="1494" w:type="dxa"/>
          </w:tcPr>
          <w:p>
            <w:pPr>
              <w:pStyle w:val="TableParagraph"/>
              <w:spacing w:line="296" w:lineRule="exact"/>
              <w:ind w:right="86"/>
              <w:jc w:val="right"/>
              <w:rPr>
                <w:sz w:val="24"/>
              </w:rPr>
            </w:pPr>
            <w:r>
              <w:rPr>
                <w:spacing w:val="-2"/>
                <w:sz w:val="24"/>
              </w:rPr>
              <w:t>1.021,63</w:t>
            </w:r>
          </w:p>
        </w:tc>
        <w:tc>
          <w:tcPr>
            <w:tcW w:w="2007" w:type="dxa"/>
          </w:tcPr>
          <w:p>
            <w:pPr>
              <w:pStyle w:val="TableParagraph"/>
              <w:spacing w:line="296" w:lineRule="exact"/>
              <w:ind w:left="13" w:right="1"/>
              <w:jc w:val="center"/>
              <w:rPr>
                <w:sz w:val="24"/>
              </w:rPr>
            </w:pPr>
            <w:r>
              <w:rPr>
                <w:spacing w:val="-10"/>
                <w:sz w:val="24"/>
              </w:rPr>
              <w:t>8</w:t>
            </w:r>
          </w:p>
        </w:tc>
      </w:tr>
      <w:tr>
        <w:trPr>
          <w:trHeight w:val="321" w:hRule="atLeast"/>
        </w:trPr>
        <w:tc>
          <w:tcPr>
            <w:tcW w:w="701" w:type="dxa"/>
            <w:shd w:val="clear" w:color="auto" w:fill="DBE3EF"/>
          </w:tcPr>
          <w:p>
            <w:pPr>
              <w:pStyle w:val="TableParagraph"/>
              <w:spacing w:line="300" w:lineRule="exact"/>
              <w:ind w:left="110"/>
              <w:rPr>
                <w:b/>
                <w:sz w:val="24"/>
              </w:rPr>
            </w:pPr>
            <w:r>
              <w:rPr>
                <w:b/>
                <w:spacing w:val="-5"/>
                <w:sz w:val="24"/>
              </w:rPr>
              <w:t>5.</w:t>
            </w:r>
          </w:p>
        </w:tc>
        <w:tc>
          <w:tcPr>
            <w:tcW w:w="2238" w:type="dxa"/>
            <w:shd w:val="clear" w:color="auto" w:fill="DBE3EF"/>
          </w:tcPr>
          <w:p>
            <w:pPr>
              <w:pStyle w:val="TableParagraph"/>
              <w:spacing w:line="300" w:lineRule="exact"/>
              <w:ind w:left="110"/>
              <w:rPr>
                <w:sz w:val="24"/>
              </w:rPr>
            </w:pPr>
            <w:r>
              <w:rPr>
                <w:sz w:val="24"/>
              </w:rPr>
              <w:t>Muara</w:t>
            </w:r>
            <w:r>
              <w:rPr>
                <w:spacing w:val="-7"/>
                <w:sz w:val="24"/>
              </w:rPr>
              <w:t> </w:t>
            </w:r>
            <w:r>
              <w:rPr>
                <w:spacing w:val="-2"/>
                <w:sz w:val="24"/>
              </w:rPr>
              <w:t>Badak</w:t>
            </w:r>
          </w:p>
        </w:tc>
        <w:tc>
          <w:tcPr>
            <w:tcW w:w="1493" w:type="dxa"/>
            <w:shd w:val="clear" w:color="auto" w:fill="DBE3EF"/>
          </w:tcPr>
          <w:p>
            <w:pPr>
              <w:pStyle w:val="TableParagraph"/>
              <w:spacing w:line="300" w:lineRule="exact"/>
              <w:ind w:right="89"/>
              <w:jc w:val="right"/>
              <w:rPr>
                <w:sz w:val="24"/>
              </w:rPr>
            </w:pPr>
            <w:r>
              <w:rPr>
                <w:spacing w:val="-2"/>
                <w:sz w:val="24"/>
              </w:rPr>
              <w:t>739,18</w:t>
            </w:r>
          </w:p>
        </w:tc>
        <w:tc>
          <w:tcPr>
            <w:tcW w:w="1494" w:type="dxa"/>
            <w:shd w:val="clear" w:color="auto" w:fill="DBE3EF"/>
          </w:tcPr>
          <w:p>
            <w:pPr>
              <w:pStyle w:val="TableParagraph"/>
              <w:spacing w:line="300" w:lineRule="exact"/>
              <w:ind w:right="90"/>
              <w:jc w:val="right"/>
              <w:rPr>
                <w:sz w:val="24"/>
              </w:rPr>
            </w:pPr>
            <w:r>
              <w:rPr>
                <w:spacing w:val="-2"/>
                <w:sz w:val="24"/>
              </w:rPr>
              <w:t>279,35</w:t>
            </w:r>
          </w:p>
        </w:tc>
        <w:tc>
          <w:tcPr>
            <w:tcW w:w="2007" w:type="dxa"/>
            <w:shd w:val="clear" w:color="auto" w:fill="DBE3EF"/>
          </w:tcPr>
          <w:p>
            <w:pPr>
              <w:pStyle w:val="TableParagraph"/>
              <w:spacing w:line="300" w:lineRule="exact"/>
              <w:ind w:left="13" w:right="5"/>
              <w:jc w:val="center"/>
              <w:rPr>
                <w:sz w:val="24"/>
              </w:rPr>
            </w:pPr>
            <w:r>
              <w:rPr>
                <w:spacing w:val="-5"/>
                <w:sz w:val="24"/>
              </w:rPr>
              <w:t>13</w:t>
            </w:r>
          </w:p>
        </w:tc>
      </w:tr>
      <w:tr>
        <w:trPr>
          <w:trHeight w:val="317" w:hRule="atLeast"/>
        </w:trPr>
        <w:tc>
          <w:tcPr>
            <w:tcW w:w="701" w:type="dxa"/>
          </w:tcPr>
          <w:p>
            <w:pPr>
              <w:pStyle w:val="TableParagraph"/>
              <w:spacing w:line="297" w:lineRule="exact"/>
              <w:ind w:left="110"/>
              <w:rPr>
                <w:b/>
                <w:sz w:val="24"/>
              </w:rPr>
            </w:pPr>
            <w:r>
              <w:rPr>
                <w:b/>
                <w:spacing w:val="-5"/>
                <w:sz w:val="24"/>
              </w:rPr>
              <w:t>6.</w:t>
            </w:r>
          </w:p>
        </w:tc>
        <w:tc>
          <w:tcPr>
            <w:tcW w:w="2238" w:type="dxa"/>
          </w:tcPr>
          <w:p>
            <w:pPr>
              <w:pStyle w:val="TableParagraph"/>
              <w:spacing w:line="297" w:lineRule="exact"/>
              <w:ind w:left="110"/>
              <w:rPr>
                <w:sz w:val="24"/>
              </w:rPr>
            </w:pPr>
            <w:r>
              <w:rPr>
                <w:spacing w:val="-2"/>
                <w:sz w:val="24"/>
              </w:rPr>
              <w:t>Tenggarong</w:t>
            </w:r>
          </w:p>
        </w:tc>
        <w:tc>
          <w:tcPr>
            <w:tcW w:w="1493" w:type="dxa"/>
          </w:tcPr>
          <w:p>
            <w:pPr>
              <w:pStyle w:val="TableParagraph"/>
              <w:spacing w:line="297" w:lineRule="exact"/>
              <w:ind w:right="89"/>
              <w:jc w:val="right"/>
              <w:rPr>
                <w:sz w:val="24"/>
              </w:rPr>
            </w:pPr>
            <w:r>
              <w:rPr>
                <w:spacing w:val="-2"/>
                <w:sz w:val="24"/>
              </w:rPr>
              <w:t>358,19</w:t>
            </w:r>
          </w:p>
        </w:tc>
        <w:tc>
          <w:tcPr>
            <w:tcW w:w="1494" w:type="dxa"/>
          </w:tcPr>
          <w:p>
            <w:pPr>
              <w:pStyle w:val="TableParagraph"/>
              <w:spacing w:line="297" w:lineRule="exact"/>
              <w:ind w:right="90"/>
              <w:jc w:val="right"/>
              <w:rPr>
                <w:sz w:val="24"/>
              </w:rPr>
            </w:pPr>
            <w:r>
              <w:rPr>
                <w:spacing w:val="-10"/>
                <w:sz w:val="24"/>
              </w:rPr>
              <w:t>-</w:t>
            </w:r>
          </w:p>
        </w:tc>
        <w:tc>
          <w:tcPr>
            <w:tcW w:w="2007" w:type="dxa"/>
          </w:tcPr>
          <w:p>
            <w:pPr>
              <w:pStyle w:val="TableParagraph"/>
              <w:spacing w:line="297" w:lineRule="exact"/>
              <w:ind w:left="13" w:right="5"/>
              <w:jc w:val="center"/>
              <w:rPr>
                <w:sz w:val="24"/>
              </w:rPr>
            </w:pPr>
            <w:r>
              <w:rPr>
                <w:spacing w:val="-5"/>
                <w:sz w:val="24"/>
              </w:rPr>
              <w:t>14</w:t>
            </w:r>
          </w:p>
        </w:tc>
      </w:tr>
      <w:tr>
        <w:trPr>
          <w:trHeight w:val="321" w:hRule="atLeast"/>
        </w:trPr>
        <w:tc>
          <w:tcPr>
            <w:tcW w:w="701" w:type="dxa"/>
            <w:shd w:val="clear" w:color="auto" w:fill="DBE3EF"/>
          </w:tcPr>
          <w:p>
            <w:pPr>
              <w:pStyle w:val="TableParagraph"/>
              <w:spacing w:line="300" w:lineRule="exact"/>
              <w:ind w:left="110"/>
              <w:rPr>
                <w:b/>
                <w:sz w:val="24"/>
              </w:rPr>
            </w:pPr>
            <w:r>
              <w:rPr>
                <w:b/>
                <w:spacing w:val="-5"/>
                <w:sz w:val="24"/>
              </w:rPr>
              <w:t>7.</w:t>
            </w:r>
          </w:p>
        </w:tc>
        <w:tc>
          <w:tcPr>
            <w:tcW w:w="2238" w:type="dxa"/>
            <w:shd w:val="clear" w:color="auto" w:fill="DBE3EF"/>
          </w:tcPr>
          <w:p>
            <w:pPr>
              <w:pStyle w:val="TableParagraph"/>
              <w:spacing w:line="300" w:lineRule="exact"/>
              <w:ind w:left="110"/>
              <w:rPr>
                <w:sz w:val="24"/>
              </w:rPr>
            </w:pPr>
            <w:r>
              <w:rPr>
                <w:spacing w:val="-2"/>
                <w:sz w:val="24"/>
              </w:rPr>
              <w:t>Sebulu</w:t>
            </w:r>
          </w:p>
        </w:tc>
        <w:tc>
          <w:tcPr>
            <w:tcW w:w="1493" w:type="dxa"/>
            <w:shd w:val="clear" w:color="auto" w:fill="DBE3EF"/>
          </w:tcPr>
          <w:p>
            <w:pPr>
              <w:pStyle w:val="TableParagraph"/>
              <w:spacing w:line="300" w:lineRule="exact"/>
              <w:ind w:right="89"/>
              <w:jc w:val="right"/>
              <w:rPr>
                <w:sz w:val="24"/>
              </w:rPr>
            </w:pPr>
            <w:r>
              <w:rPr>
                <w:spacing w:val="-2"/>
                <w:sz w:val="24"/>
              </w:rPr>
              <w:t>599,71</w:t>
            </w:r>
          </w:p>
        </w:tc>
        <w:tc>
          <w:tcPr>
            <w:tcW w:w="1494" w:type="dxa"/>
            <w:shd w:val="clear" w:color="auto" w:fill="DBE3EF"/>
          </w:tcPr>
          <w:p>
            <w:pPr>
              <w:pStyle w:val="TableParagraph"/>
              <w:spacing w:line="300" w:lineRule="exact"/>
              <w:ind w:right="90"/>
              <w:jc w:val="right"/>
              <w:rPr>
                <w:sz w:val="24"/>
              </w:rPr>
            </w:pPr>
            <w:r>
              <w:rPr>
                <w:spacing w:val="-10"/>
                <w:sz w:val="24"/>
              </w:rPr>
              <w:t>-</w:t>
            </w:r>
          </w:p>
        </w:tc>
        <w:tc>
          <w:tcPr>
            <w:tcW w:w="2007" w:type="dxa"/>
            <w:shd w:val="clear" w:color="auto" w:fill="DBE3EF"/>
          </w:tcPr>
          <w:p>
            <w:pPr>
              <w:pStyle w:val="TableParagraph"/>
              <w:spacing w:line="300" w:lineRule="exact"/>
              <w:ind w:left="13" w:right="5"/>
              <w:jc w:val="center"/>
              <w:rPr>
                <w:sz w:val="24"/>
              </w:rPr>
            </w:pPr>
            <w:r>
              <w:rPr>
                <w:spacing w:val="-5"/>
                <w:sz w:val="24"/>
              </w:rPr>
              <w:t>14</w:t>
            </w:r>
          </w:p>
        </w:tc>
      </w:tr>
      <w:tr>
        <w:trPr>
          <w:trHeight w:val="316" w:hRule="atLeast"/>
        </w:trPr>
        <w:tc>
          <w:tcPr>
            <w:tcW w:w="701" w:type="dxa"/>
          </w:tcPr>
          <w:p>
            <w:pPr>
              <w:pStyle w:val="TableParagraph"/>
              <w:spacing w:line="296" w:lineRule="exact"/>
              <w:ind w:left="110"/>
              <w:rPr>
                <w:b/>
                <w:sz w:val="24"/>
              </w:rPr>
            </w:pPr>
            <w:r>
              <w:rPr>
                <w:b/>
                <w:spacing w:val="-5"/>
                <w:sz w:val="24"/>
              </w:rPr>
              <w:t>8.</w:t>
            </w:r>
          </w:p>
        </w:tc>
        <w:tc>
          <w:tcPr>
            <w:tcW w:w="2238" w:type="dxa"/>
          </w:tcPr>
          <w:p>
            <w:pPr>
              <w:pStyle w:val="TableParagraph"/>
              <w:spacing w:line="296" w:lineRule="exact"/>
              <w:ind w:left="110"/>
              <w:rPr>
                <w:sz w:val="24"/>
              </w:rPr>
            </w:pPr>
            <w:r>
              <w:rPr>
                <w:sz w:val="24"/>
              </w:rPr>
              <w:t>Kota</w:t>
            </w:r>
            <w:r>
              <w:rPr>
                <w:spacing w:val="-9"/>
                <w:sz w:val="24"/>
              </w:rPr>
              <w:t> </w:t>
            </w:r>
            <w:r>
              <w:rPr>
                <w:spacing w:val="-2"/>
                <w:sz w:val="24"/>
              </w:rPr>
              <w:t>Bangun</w:t>
            </w:r>
          </w:p>
        </w:tc>
        <w:tc>
          <w:tcPr>
            <w:tcW w:w="1493" w:type="dxa"/>
          </w:tcPr>
          <w:p>
            <w:pPr>
              <w:pStyle w:val="TableParagraph"/>
              <w:spacing w:line="296" w:lineRule="exact"/>
              <w:ind w:right="89"/>
              <w:jc w:val="right"/>
              <w:rPr>
                <w:sz w:val="24"/>
              </w:rPr>
            </w:pPr>
            <w:r>
              <w:rPr>
                <w:spacing w:val="-2"/>
                <w:sz w:val="24"/>
              </w:rPr>
              <w:t>440,40</w:t>
            </w:r>
          </w:p>
        </w:tc>
        <w:tc>
          <w:tcPr>
            <w:tcW w:w="1494" w:type="dxa"/>
          </w:tcPr>
          <w:p>
            <w:pPr>
              <w:pStyle w:val="TableParagraph"/>
              <w:spacing w:line="296" w:lineRule="exact"/>
              <w:ind w:right="90"/>
              <w:jc w:val="right"/>
              <w:rPr>
                <w:sz w:val="24"/>
              </w:rPr>
            </w:pPr>
            <w:r>
              <w:rPr>
                <w:spacing w:val="-10"/>
                <w:sz w:val="24"/>
              </w:rPr>
              <w:t>-</w:t>
            </w:r>
          </w:p>
        </w:tc>
        <w:tc>
          <w:tcPr>
            <w:tcW w:w="2007" w:type="dxa"/>
          </w:tcPr>
          <w:p>
            <w:pPr>
              <w:pStyle w:val="TableParagraph"/>
              <w:spacing w:line="296" w:lineRule="exact"/>
              <w:ind w:left="13" w:right="5"/>
              <w:jc w:val="center"/>
              <w:rPr>
                <w:sz w:val="24"/>
              </w:rPr>
            </w:pPr>
            <w:r>
              <w:rPr>
                <w:spacing w:val="-5"/>
                <w:sz w:val="24"/>
              </w:rPr>
              <w:t>11</w:t>
            </w:r>
          </w:p>
        </w:tc>
      </w:tr>
      <w:tr>
        <w:trPr>
          <w:trHeight w:val="321" w:hRule="atLeast"/>
        </w:trPr>
        <w:tc>
          <w:tcPr>
            <w:tcW w:w="701" w:type="dxa"/>
            <w:shd w:val="clear" w:color="auto" w:fill="DBE3EF"/>
          </w:tcPr>
          <w:p>
            <w:pPr>
              <w:pStyle w:val="TableParagraph"/>
              <w:spacing w:line="301" w:lineRule="exact"/>
              <w:ind w:left="110"/>
              <w:rPr>
                <w:b/>
                <w:sz w:val="24"/>
              </w:rPr>
            </w:pPr>
            <w:r>
              <w:rPr>
                <w:b/>
                <w:spacing w:val="-5"/>
                <w:sz w:val="24"/>
              </w:rPr>
              <w:t>9.</w:t>
            </w:r>
          </w:p>
        </w:tc>
        <w:tc>
          <w:tcPr>
            <w:tcW w:w="2238" w:type="dxa"/>
            <w:shd w:val="clear" w:color="auto" w:fill="DBE3EF"/>
          </w:tcPr>
          <w:p>
            <w:pPr>
              <w:pStyle w:val="TableParagraph"/>
              <w:spacing w:line="301" w:lineRule="exact"/>
              <w:ind w:left="110"/>
              <w:rPr>
                <w:sz w:val="24"/>
              </w:rPr>
            </w:pPr>
            <w:r>
              <w:rPr>
                <w:spacing w:val="-2"/>
                <w:sz w:val="24"/>
              </w:rPr>
              <w:t>Kenohan</w:t>
            </w:r>
          </w:p>
        </w:tc>
        <w:tc>
          <w:tcPr>
            <w:tcW w:w="1493" w:type="dxa"/>
            <w:shd w:val="clear" w:color="auto" w:fill="DBE3EF"/>
          </w:tcPr>
          <w:p>
            <w:pPr>
              <w:pStyle w:val="TableParagraph"/>
              <w:spacing w:line="301" w:lineRule="exact"/>
              <w:ind w:right="85"/>
              <w:jc w:val="right"/>
              <w:rPr>
                <w:sz w:val="24"/>
              </w:rPr>
            </w:pPr>
            <w:r>
              <w:rPr>
                <w:spacing w:val="-2"/>
                <w:sz w:val="24"/>
              </w:rPr>
              <w:t>1.308,67</w:t>
            </w:r>
          </w:p>
        </w:tc>
        <w:tc>
          <w:tcPr>
            <w:tcW w:w="1494" w:type="dxa"/>
            <w:shd w:val="clear" w:color="auto" w:fill="DBE3EF"/>
          </w:tcPr>
          <w:p>
            <w:pPr>
              <w:pStyle w:val="TableParagraph"/>
              <w:spacing w:line="301" w:lineRule="exact"/>
              <w:ind w:right="90"/>
              <w:jc w:val="right"/>
              <w:rPr>
                <w:sz w:val="24"/>
              </w:rPr>
            </w:pPr>
            <w:r>
              <w:rPr>
                <w:spacing w:val="-10"/>
                <w:sz w:val="24"/>
              </w:rPr>
              <w:t>-</w:t>
            </w:r>
          </w:p>
        </w:tc>
        <w:tc>
          <w:tcPr>
            <w:tcW w:w="2007" w:type="dxa"/>
            <w:shd w:val="clear" w:color="auto" w:fill="DBE3EF"/>
          </w:tcPr>
          <w:p>
            <w:pPr>
              <w:pStyle w:val="TableParagraph"/>
              <w:spacing w:line="301" w:lineRule="exact"/>
              <w:ind w:left="13" w:right="1"/>
              <w:jc w:val="center"/>
              <w:rPr>
                <w:sz w:val="24"/>
              </w:rPr>
            </w:pPr>
            <w:r>
              <w:rPr>
                <w:spacing w:val="-10"/>
                <w:sz w:val="24"/>
              </w:rPr>
              <w:t>9</w:t>
            </w:r>
          </w:p>
        </w:tc>
      </w:tr>
      <w:tr>
        <w:trPr>
          <w:trHeight w:val="316" w:hRule="atLeast"/>
        </w:trPr>
        <w:tc>
          <w:tcPr>
            <w:tcW w:w="701" w:type="dxa"/>
          </w:tcPr>
          <w:p>
            <w:pPr>
              <w:pStyle w:val="TableParagraph"/>
              <w:spacing w:line="296" w:lineRule="exact"/>
              <w:ind w:left="110"/>
              <w:rPr>
                <w:b/>
                <w:sz w:val="24"/>
              </w:rPr>
            </w:pPr>
            <w:r>
              <w:rPr>
                <w:b/>
                <w:spacing w:val="-5"/>
                <w:sz w:val="24"/>
              </w:rPr>
              <w:t>10.</w:t>
            </w:r>
          </w:p>
        </w:tc>
        <w:tc>
          <w:tcPr>
            <w:tcW w:w="2238" w:type="dxa"/>
          </w:tcPr>
          <w:p>
            <w:pPr>
              <w:pStyle w:val="TableParagraph"/>
              <w:spacing w:line="296" w:lineRule="exact"/>
              <w:ind w:left="110"/>
              <w:rPr>
                <w:sz w:val="24"/>
              </w:rPr>
            </w:pPr>
            <w:r>
              <w:rPr>
                <w:sz w:val="24"/>
              </w:rPr>
              <w:t>Kembang</w:t>
            </w:r>
            <w:r>
              <w:rPr>
                <w:spacing w:val="-9"/>
                <w:sz w:val="24"/>
              </w:rPr>
              <w:t> </w:t>
            </w:r>
            <w:r>
              <w:rPr>
                <w:spacing w:val="-2"/>
                <w:sz w:val="24"/>
              </w:rPr>
              <w:t>Janggut</w:t>
            </w:r>
          </w:p>
        </w:tc>
        <w:tc>
          <w:tcPr>
            <w:tcW w:w="1493" w:type="dxa"/>
          </w:tcPr>
          <w:p>
            <w:pPr>
              <w:pStyle w:val="TableParagraph"/>
              <w:spacing w:line="296" w:lineRule="exact"/>
              <w:ind w:right="85"/>
              <w:jc w:val="right"/>
              <w:rPr>
                <w:sz w:val="24"/>
              </w:rPr>
            </w:pPr>
            <w:r>
              <w:rPr>
                <w:spacing w:val="-2"/>
                <w:sz w:val="24"/>
              </w:rPr>
              <w:t>2.195,24</w:t>
            </w:r>
          </w:p>
        </w:tc>
        <w:tc>
          <w:tcPr>
            <w:tcW w:w="1494" w:type="dxa"/>
          </w:tcPr>
          <w:p>
            <w:pPr>
              <w:pStyle w:val="TableParagraph"/>
              <w:spacing w:line="296" w:lineRule="exact"/>
              <w:ind w:right="90"/>
              <w:jc w:val="right"/>
              <w:rPr>
                <w:sz w:val="24"/>
              </w:rPr>
            </w:pPr>
            <w:r>
              <w:rPr>
                <w:spacing w:val="-10"/>
                <w:sz w:val="24"/>
              </w:rPr>
              <w:t>-</w:t>
            </w:r>
          </w:p>
        </w:tc>
        <w:tc>
          <w:tcPr>
            <w:tcW w:w="2007" w:type="dxa"/>
          </w:tcPr>
          <w:p>
            <w:pPr>
              <w:pStyle w:val="TableParagraph"/>
              <w:spacing w:line="296" w:lineRule="exact"/>
              <w:ind w:left="13" w:right="5"/>
              <w:jc w:val="center"/>
              <w:rPr>
                <w:sz w:val="24"/>
              </w:rPr>
            </w:pPr>
            <w:r>
              <w:rPr>
                <w:spacing w:val="-5"/>
                <w:sz w:val="24"/>
              </w:rPr>
              <w:t>11</w:t>
            </w:r>
          </w:p>
        </w:tc>
      </w:tr>
      <w:tr>
        <w:trPr>
          <w:trHeight w:val="316" w:hRule="atLeast"/>
        </w:trPr>
        <w:tc>
          <w:tcPr>
            <w:tcW w:w="701" w:type="dxa"/>
            <w:shd w:val="clear" w:color="auto" w:fill="DBE3EF"/>
          </w:tcPr>
          <w:p>
            <w:pPr>
              <w:pStyle w:val="TableParagraph"/>
              <w:spacing w:line="297" w:lineRule="exact"/>
              <w:ind w:left="110"/>
              <w:rPr>
                <w:b/>
                <w:sz w:val="24"/>
              </w:rPr>
            </w:pPr>
            <w:r>
              <w:rPr>
                <w:b/>
                <w:spacing w:val="-5"/>
                <w:sz w:val="24"/>
              </w:rPr>
              <w:t>11.</w:t>
            </w:r>
          </w:p>
        </w:tc>
        <w:tc>
          <w:tcPr>
            <w:tcW w:w="2238" w:type="dxa"/>
            <w:shd w:val="clear" w:color="auto" w:fill="DBE3EF"/>
          </w:tcPr>
          <w:p>
            <w:pPr>
              <w:pStyle w:val="TableParagraph"/>
              <w:spacing w:line="297" w:lineRule="exact"/>
              <w:ind w:left="110"/>
              <w:rPr>
                <w:sz w:val="24"/>
              </w:rPr>
            </w:pPr>
            <w:r>
              <w:rPr>
                <w:sz w:val="24"/>
              </w:rPr>
              <w:t>Muara</w:t>
            </w:r>
            <w:r>
              <w:rPr>
                <w:spacing w:val="-7"/>
                <w:sz w:val="24"/>
              </w:rPr>
              <w:t> </w:t>
            </w:r>
            <w:r>
              <w:rPr>
                <w:spacing w:val="-2"/>
                <w:sz w:val="24"/>
              </w:rPr>
              <w:t>Kaman</w:t>
            </w:r>
          </w:p>
        </w:tc>
        <w:tc>
          <w:tcPr>
            <w:tcW w:w="1493" w:type="dxa"/>
            <w:shd w:val="clear" w:color="auto" w:fill="DBE3EF"/>
          </w:tcPr>
          <w:p>
            <w:pPr>
              <w:pStyle w:val="TableParagraph"/>
              <w:spacing w:line="297" w:lineRule="exact"/>
              <w:ind w:right="85"/>
              <w:jc w:val="right"/>
              <w:rPr>
                <w:sz w:val="24"/>
              </w:rPr>
            </w:pPr>
            <w:r>
              <w:rPr>
                <w:spacing w:val="-2"/>
                <w:sz w:val="24"/>
              </w:rPr>
              <w:t>4.235,38</w:t>
            </w:r>
          </w:p>
        </w:tc>
        <w:tc>
          <w:tcPr>
            <w:tcW w:w="1494" w:type="dxa"/>
            <w:shd w:val="clear" w:color="auto" w:fill="DBE3EF"/>
          </w:tcPr>
          <w:p>
            <w:pPr>
              <w:pStyle w:val="TableParagraph"/>
              <w:spacing w:line="297" w:lineRule="exact"/>
              <w:ind w:right="90"/>
              <w:jc w:val="right"/>
              <w:rPr>
                <w:sz w:val="24"/>
              </w:rPr>
            </w:pPr>
            <w:r>
              <w:rPr>
                <w:spacing w:val="-10"/>
                <w:sz w:val="24"/>
              </w:rPr>
              <w:t>-</w:t>
            </w:r>
          </w:p>
        </w:tc>
        <w:tc>
          <w:tcPr>
            <w:tcW w:w="2007" w:type="dxa"/>
            <w:shd w:val="clear" w:color="auto" w:fill="DBE3EF"/>
          </w:tcPr>
          <w:p>
            <w:pPr>
              <w:pStyle w:val="TableParagraph"/>
              <w:spacing w:line="297" w:lineRule="exact"/>
              <w:ind w:left="13" w:right="5"/>
              <w:jc w:val="center"/>
              <w:rPr>
                <w:sz w:val="24"/>
              </w:rPr>
            </w:pPr>
            <w:r>
              <w:rPr>
                <w:spacing w:val="-5"/>
                <w:sz w:val="24"/>
              </w:rPr>
              <w:t>20</w:t>
            </w:r>
          </w:p>
        </w:tc>
      </w:tr>
      <w:tr>
        <w:trPr>
          <w:trHeight w:val="321" w:hRule="atLeast"/>
        </w:trPr>
        <w:tc>
          <w:tcPr>
            <w:tcW w:w="701" w:type="dxa"/>
          </w:tcPr>
          <w:p>
            <w:pPr>
              <w:pStyle w:val="TableParagraph"/>
              <w:spacing w:line="301" w:lineRule="exact"/>
              <w:ind w:left="110"/>
              <w:rPr>
                <w:b/>
                <w:sz w:val="24"/>
              </w:rPr>
            </w:pPr>
            <w:r>
              <w:rPr>
                <w:b/>
                <w:spacing w:val="-5"/>
                <w:sz w:val="24"/>
              </w:rPr>
              <w:t>12.</w:t>
            </w:r>
          </w:p>
        </w:tc>
        <w:tc>
          <w:tcPr>
            <w:tcW w:w="2238" w:type="dxa"/>
          </w:tcPr>
          <w:p>
            <w:pPr>
              <w:pStyle w:val="TableParagraph"/>
              <w:spacing w:line="301" w:lineRule="exact"/>
              <w:ind w:left="110"/>
              <w:rPr>
                <w:sz w:val="24"/>
              </w:rPr>
            </w:pPr>
            <w:r>
              <w:rPr>
                <w:spacing w:val="-2"/>
                <w:sz w:val="24"/>
              </w:rPr>
              <w:t>Tabang</w:t>
            </w:r>
          </w:p>
        </w:tc>
        <w:tc>
          <w:tcPr>
            <w:tcW w:w="1493" w:type="dxa"/>
          </w:tcPr>
          <w:p>
            <w:pPr>
              <w:pStyle w:val="TableParagraph"/>
              <w:spacing w:line="301" w:lineRule="exact"/>
              <w:ind w:right="85"/>
              <w:jc w:val="right"/>
              <w:rPr>
                <w:sz w:val="24"/>
              </w:rPr>
            </w:pPr>
            <w:r>
              <w:rPr>
                <w:spacing w:val="-2"/>
                <w:sz w:val="24"/>
              </w:rPr>
              <w:t>8.105,59</w:t>
            </w:r>
          </w:p>
        </w:tc>
        <w:tc>
          <w:tcPr>
            <w:tcW w:w="1494" w:type="dxa"/>
          </w:tcPr>
          <w:p>
            <w:pPr>
              <w:pStyle w:val="TableParagraph"/>
              <w:spacing w:line="301" w:lineRule="exact"/>
              <w:ind w:right="90"/>
              <w:jc w:val="right"/>
              <w:rPr>
                <w:sz w:val="24"/>
              </w:rPr>
            </w:pPr>
            <w:r>
              <w:rPr>
                <w:spacing w:val="-10"/>
                <w:sz w:val="24"/>
              </w:rPr>
              <w:t>-</w:t>
            </w:r>
          </w:p>
        </w:tc>
        <w:tc>
          <w:tcPr>
            <w:tcW w:w="2007" w:type="dxa"/>
          </w:tcPr>
          <w:p>
            <w:pPr>
              <w:pStyle w:val="TableParagraph"/>
              <w:spacing w:line="301" w:lineRule="exact"/>
              <w:ind w:left="13" w:right="5"/>
              <w:jc w:val="center"/>
              <w:rPr>
                <w:sz w:val="24"/>
              </w:rPr>
            </w:pPr>
            <w:r>
              <w:rPr>
                <w:spacing w:val="-5"/>
                <w:sz w:val="24"/>
              </w:rPr>
              <w:t>19</w:t>
            </w:r>
          </w:p>
        </w:tc>
      </w:tr>
      <w:tr>
        <w:trPr>
          <w:trHeight w:val="321" w:hRule="atLeast"/>
        </w:trPr>
        <w:tc>
          <w:tcPr>
            <w:tcW w:w="701" w:type="dxa"/>
            <w:shd w:val="clear" w:color="auto" w:fill="DBE3EF"/>
          </w:tcPr>
          <w:p>
            <w:pPr>
              <w:pStyle w:val="TableParagraph"/>
              <w:spacing w:line="300" w:lineRule="exact"/>
              <w:ind w:left="110"/>
              <w:rPr>
                <w:b/>
                <w:sz w:val="24"/>
              </w:rPr>
            </w:pPr>
            <w:r>
              <w:rPr>
                <w:b/>
                <w:spacing w:val="-5"/>
                <w:sz w:val="24"/>
              </w:rPr>
              <w:t>13.</w:t>
            </w:r>
          </w:p>
        </w:tc>
        <w:tc>
          <w:tcPr>
            <w:tcW w:w="2238" w:type="dxa"/>
            <w:shd w:val="clear" w:color="auto" w:fill="DBE3EF"/>
          </w:tcPr>
          <w:p>
            <w:pPr>
              <w:pStyle w:val="TableParagraph"/>
              <w:spacing w:line="300" w:lineRule="exact"/>
              <w:ind w:left="110"/>
              <w:rPr>
                <w:sz w:val="24"/>
              </w:rPr>
            </w:pPr>
            <w:r>
              <w:rPr>
                <w:spacing w:val="-2"/>
                <w:sz w:val="24"/>
              </w:rPr>
              <w:t>Samboja</w:t>
            </w:r>
          </w:p>
        </w:tc>
        <w:tc>
          <w:tcPr>
            <w:tcW w:w="1493" w:type="dxa"/>
            <w:shd w:val="clear" w:color="auto" w:fill="DBE3EF"/>
          </w:tcPr>
          <w:p>
            <w:pPr>
              <w:pStyle w:val="TableParagraph"/>
              <w:spacing w:line="300" w:lineRule="exact"/>
              <w:ind w:right="89"/>
              <w:jc w:val="right"/>
              <w:rPr>
                <w:sz w:val="24"/>
              </w:rPr>
            </w:pPr>
            <w:r>
              <w:rPr>
                <w:spacing w:val="-2"/>
                <w:sz w:val="24"/>
              </w:rPr>
              <w:t>281,66</w:t>
            </w:r>
          </w:p>
        </w:tc>
        <w:tc>
          <w:tcPr>
            <w:tcW w:w="1494" w:type="dxa"/>
            <w:shd w:val="clear" w:color="auto" w:fill="DBE3EF"/>
          </w:tcPr>
          <w:p>
            <w:pPr>
              <w:pStyle w:val="TableParagraph"/>
              <w:spacing w:line="300" w:lineRule="exact"/>
              <w:ind w:right="90"/>
              <w:jc w:val="right"/>
              <w:rPr>
                <w:sz w:val="24"/>
              </w:rPr>
            </w:pPr>
            <w:r>
              <w:rPr>
                <w:spacing w:val="-2"/>
                <w:sz w:val="24"/>
              </w:rPr>
              <w:t>216,31</w:t>
            </w:r>
          </w:p>
        </w:tc>
        <w:tc>
          <w:tcPr>
            <w:tcW w:w="2007" w:type="dxa"/>
            <w:shd w:val="clear" w:color="auto" w:fill="DBE3EF"/>
          </w:tcPr>
          <w:p>
            <w:pPr>
              <w:pStyle w:val="TableParagraph"/>
              <w:spacing w:line="300" w:lineRule="exact"/>
              <w:ind w:left="13" w:right="5"/>
              <w:jc w:val="center"/>
              <w:rPr>
                <w:sz w:val="24"/>
              </w:rPr>
            </w:pPr>
            <w:r>
              <w:rPr>
                <w:spacing w:val="-5"/>
                <w:sz w:val="24"/>
              </w:rPr>
              <w:t>13</w:t>
            </w:r>
          </w:p>
        </w:tc>
      </w:tr>
      <w:tr>
        <w:trPr>
          <w:trHeight w:val="316" w:hRule="atLeast"/>
        </w:trPr>
        <w:tc>
          <w:tcPr>
            <w:tcW w:w="701" w:type="dxa"/>
          </w:tcPr>
          <w:p>
            <w:pPr>
              <w:pStyle w:val="TableParagraph"/>
              <w:spacing w:line="296" w:lineRule="exact"/>
              <w:ind w:left="110"/>
              <w:rPr>
                <w:b/>
                <w:sz w:val="24"/>
              </w:rPr>
            </w:pPr>
            <w:r>
              <w:rPr>
                <w:b/>
                <w:spacing w:val="-5"/>
                <w:sz w:val="24"/>
              </w:rPr>
              <w:t>14.</w:t>
            </w:r>
          </w:p>
        </w:tc>
        <w:tc>
          <w:tcPr>
            <w:tcW w:w="2238" w:type="dxa"/>
          </w:tcPr>
          <w:p>
            <w:pPr>
              <w:pStyle w:val="TableParagraph"/>
              <w:spacing w:line="296" w:lineRule="exact"/>
              <w:ind w:left="110"/>
              <w:rPr>
                <w:sz w:val="24"/>
              </w:rPr>
            </w:pPr>
            <w:r>
              <w:rPr>
                <w:sz w:val="24"/>
              </w:rPr>
              <w:t>Muara</w:t>
            </w:r>
            <w:r>
              <w:rPr>
                <w:spacing w:val="-9"/>
                <w:sz w:val="24"/>
              </w:rPr>
              <w:t> </w:t>
            </w:r>
            <w:r>
              <w:rPr>
                <w:spacing w:val="-4"/>
                <w:sz w:val="24"/>
              </w:rPr>
              <w:t>Jawa</w:t>
            </w:r>
          </w:p>
        </w:tc>
        <w:tc>
          <w:tcPr>
            <w:tcW w:w="1493" w:type="dxa"/>
          </w:tcPr>
          <w:p>
            <w:pPr>
              <w:pStyle w:val="TableParagraph"/>
              <w:spacing w:line="296" w:lineRule="exact"/>
              <w:ind w:right="89"/>
              <w:jc w:val="right"/>
              <w:rPr>
                <w:sz w:val="24"/>
              </w:rPr>
            </w:pPr>
            <w:r>
              <w:rPr>
                <w:spacing w:val="-2"/>
                <w:sz w:val="24"/>
              </w:rPr>
              <w:t>519,80</w:t>
            </w:r>
          </w:p>
        </w:tc>
        <w:tc>
          <w:tcPr>
            <w:tcW w:w="1494" w:type="dxa"/>
          </w:tcPr>
          <w:p>
            <w:pPr>
              <w:pStyle w:val="TableParagraph"/>
              <w:spacing w:line="296" w:lineRule="exact"/>
              <w:ind w:right="90"/>
              <w:jc w:val="right"/>
              <w:rPr>
                <w:sz w:val="24"/>
              </w:rPr>
            </w:pPr>
            <w:r>
              <w:rPr>
                <w:spacing w:val="-2"/>
                <w:sz w:val="24"/>
              </w:rPr>
              <w:t>166,59</w:t>
            </w:r>
          </w:p>
        </w:tc>
        <w:tc>
          <w:tcPr>
            <w:tcW w:w="2007" w:type="dxa"/>
          </w:tcPr>
          <w:p>
            <w:pPr>
              <w:pStyle w:val="TableParagraph"/>
              <w:spacing w:line="296" w:lineRule="exact"/>
              <w:ind w:left="13" w:right="1"/>
              <w:jc w:val="center"/>
              <w:rPr>
                <w:sz w:val="24"/>
              </w:rPr>
            </w:pPr>
            <w:r>
              <w:rPr>
                <w:spacing w:val="-10"/>
                <w:sz w:val="24"/>
              </w:rPr>
              <w:t>8</w:t>
            </w:r>
          </w:p>
        </w:tc>
      </w:tr>
      <w:tr>
        <w:trPr>
          <w:trHeight w:val="321" w:hRule="atLeast"/>
        </w:trPr>
        <w:tc>
          <w:tcPr>
            <w:tcW w:w="701" w:type="dxa"/>
            <w:shd w:val="clear" w:color="auto" w:fill="DBE3EF"/>
          </w:tcPr>
          <w:p>
            <w:pPr>
              <w:pStyle w:val="TableParagraph"/>
              <w:spacing w:line="300" w:lineRule="exact"/>
              <w:ind w:left="110"/>
              <w:rPr>
                <w:b/>
                <w:sz w:val="24"/>
              </w:rPr>
            </w:pPr>
            <w:r>
              <w:rPr>
                <w:b/>
                <w:spacing w:val="-5"/>
                <w:sz w:val="24"/>
              </w:rPr>
              <w:t>15.</w:t>
            </w:r>
          </w:p>
        </w:tc>
        <w:tc>
          <w:tcPr>
            <w:tcW w:w="2238" w:type="dxa"/>
            <w:shd w:val="clear" w:color="auto" w:fill="DBE3EF"/>
          </w:tcPr>
          <w:p>
            <w:pPr>
              <w:pStyle w:val="TableParagraph"/>
              <w:spacing w:line="300" w:lineRule="exact"/>
              <w:ind w:left="110"/>
              <w:rPr>
                <w:sz w:val="24"/>
              </w:rPr>
            </w:pPr>
            <w:r>
              <w:rPr>
                <w:spacing w:val="-2"/>
                <w:sz w:val="24"/>
              </w:rPr>
              <w:t>Sanga-Sanga</w:t>
            </w:r>
          </w:p>
        </w:tc>
        <w:tc>
          <w:tcPr>
            <w:tcW w:w="1493" w:type="dxa"/>
            <w:shd w:val="clear" w:color="auto" w:fill="DBE3EF"/>
          </w:tcPr>
          <w:p>
            <w:pPr>
              <w:pStyle w:val="TableParagraph"/>
              <w:spacing w:line="300" w:lineRule="exact"/>
              <w:ind w:right="89"/>
              <w:jc w:val="right"/>
              <w:rPr>
                <w:sz w:val="24"/>
              </w:rPr>
            </w:pPr>
            <w:r>
              <w:rPr>
                <w:spacing w:val="-2"/>
                <w:sz w:val="24"/>
              </w:rPr>
              <w:t>102,28</w:t>
            </w:r>
          </w:p>
        </w:tc>
        <w:tc>
          <w:tcPr>
            <w:tcW w:w="1494" w:type="dxa"/>
            <w:shd w:val="clear" w:color="auto" w:fill="DBE3EF"/>
          </w:tcPr>
          <w:p>
            <w:pPr>
              <w:pStyle w:val="TableParagraph"/>
              <w:spacing w:line="300" w:lineRule="exact"/>
              <w:ind w:right="90"/>
              <w:jc w:val="right"/>
              <w:rPr>
                <w:sz w:val="24"/>
              </w:rPr>
            </w:pPr>
            <w:r>
              <w:rPr>
                <w:spacing w:val="-4"/>
                <w:sz w:val="24"/>
              </w:rPr>
              <w:t>3,15</w:t>
            </w:r>
          </w:p>
        </w:tc>
        <w:tc>
          <w:tcPr>
            <w:tcW w:w="2007" w:type="dxa"/>
            <w:shd w:val="clear" w:color="auto" w:fill="DBE3EF"/>
          </w:tcPr>
          <w:p>
            <w:pPr>
              <w:pStyle w:val="TableParagraph"/>
              <w:spacing w:line="300" w:lineRule="exact"/>
              <w:ind w:left="13" w:right="1"/>
              <w:jc w:val="center"/>
              <w:rPr>
                <w:sz w:val="24"/>
              </w:rPr>
            </w:pPr>
            <w:r>
              <w:rPr>
                <w:spacing w:val="-10"/>
                <w:sz w:val="24"/>
              </w:rPr>
              <w:t>5</w:t>
            </w:r>
          </w:p>
        </w:tc>
      </w:tr>
      <w:tr>
        <w:trPr>
          <w:trHeight w:val="638" w:hRule="atLeast"/>
        </w:trPr>
        <w:tc>
          <w:tcPr>
            <w:tcW w:w="701" w:type="dxa"/>
          </w:tcPr>
          <w:p>
            <w:pPr>
              <w:pStyle w:val="TableParagraph"/>
              <w:spacing w:line="314" w:lineRule="exact"/>
              <w:ind w:left="110"/>
              <w:rPr>
                <w:b/>
                <w:sz w:val="24"/>
              </w:rPr>
            </w:pPr>
            <w:r>
              <w:rPr>
                <w:b/>
                <w:spacing w:val="-5"/>
                <w:sz w:val="24"/>
              </w:rPr>
              <w:t>16.</w:t>
            </w:r>
          </w:p>
        </w:tc>
        <w:tc>
          <w:tcPr>
            <w:tcW w:w="2238" w:type="dxa"/>
          </w:tcPr>
          <w:p>
            <w:pPr>
              <w:pStyle w:val="TableParagraph"/>
              <w:spacing w:line="314" w:lineRule="exact"/>
              <w:ind w:left="110"/>
              <w:rPr>
                <w:sz w:val="24"/>
              </w:rPr>
            </w:pPr>
            <w:r>
              <w:rPr>
                <w:spacing w:val="-2"/>
                <w:sz w:val="24"/>
              </w:rPr>
              <w:t>Tenggarong</w:t>
            </w:r>
          </w:p>
          <w:p>
            <w:pPr>
              <w:pStyle w:val="TableParagraph"/>
              <w:spacing w:line="301" w:lineRule="exact" w:before="2"/>
              <w:ind w:left="110"/>
              <w:rPr>
                <w:sz w:val="24"/>
              </w:rPr>
            </w:pPr>
            <w:r>
              <w:rPr>
                <w:spacing w:val="-2"/>
                <w:sz w:val="24"/>
              </w:rPr>
              <w:t>Seberang</w:t>
            </w:r>
          </w:p>
        </w:tc>
        <w:tc>
          <w:tcPr>
            <w:tcW w:w="1493" w:type="dxa"/>
          </w:tcPr>
          <w:p>
            <w:pPr>
              <w:pStyle w:val="TableParagraph"/>
              <w:spacing w:line="314" w:lineRule="exact"/>
              <w:ind w:right="89"/>
              <w:jc w:val="right"/>
              <w:rPr>
                <w:sz w:val="24"/>
              </w:rPr>
            </w:pPr>
            <w:r>
              <w:rPr>
                <w:spacing w:val="-2"/>
                <w:sz w:val="24"/>
              </w:rPr>
              <w:t>656,76</w:t>
            </w:r>
          </w:p>
        </w:tc>
        <w:tc>
          <w:tcPr>
            <w:tcW w:w="1494" w:type="dxa"/>
          </w:tcPr>
          <w:p>
            <w:pPr>
              <w:pStyle w:val="TableParagraph"/>
              <w:spacing w:line="314" w:lineRule="exact"/>
              <w:ind w:right="90"/>
              <w:jc w:val="right"/>
              <w:rPr>
                <w:sz w:val="24"/>
              </w:rPr>
            </w:pPr>
            <w:r>
              <w:rPr>
                <w:spacing w:val="-10"/>
                <w:sz w:val="24"/>
              </w:rPr>
              <w:t>-</w:t>
            </w:r>
          </w:p>
        </w:tc>
        <w:tc>
          <w:tcPr>
            <w:tcW w:w="2007" w:type="dxa"/>
          </w:tcPr>
          <w:p>
            <w:pPr>
              <w:pStyle w:val="TableParagraph"/>
              <w:spacing w:line="314" w:lineRule="exact"/>
              <w:ind w:left="13" w:right="5"/>
              <w:jc w:val="center"/>
              <w:rPr>
                <w:sz w:val="24"/>
              </w:rPr>
            </w:pPr>
            <w:r>
              <w:rPr>
                <w:spacing w:val="-5"/>
                <w:sz w:val="24"/>
              </w:rPr>
              <w:t>18</w:t>
            </w:r>
          </w:p>
        </w:tc>
      </w:tr>
      <w:tr>
        <w:trPr>
          <w:trHeight w:val="316" w:hRule="atLeast"/>
        </w:trPr>
        <w:tc>
          <w:tcPr>
            <w:tcW w:w="701" w:type="dxa"/>
            <w:shd w:val="clear" w:color="auto" w:fill="DBE3EF"/>
          </w:tcPr>
          <w:p>
            <w:pPr>
              <w:pStyle w:val="TableParagraph"/>
              <w:spacing w:line="296" w:lineRule="exact"/>
              <w:ind w:left="110"/>
              <w:rPr>
                <w:b/>
                <w:sz w:val="24"/>
              </w:rPr>
            </w:pPr>
            <w:r>
              <w:rPr>
                <w:b/>
                <w:spacing w:val="-5"/>
                <w:sz w:val="24"/>
              </w:rPr>
              <w:t>17.</w:t>
            </w:r>
          </w:p>
        </w:tc>
        <w:tc>
          <w:tcPr>
            <w:tcW w:w="2238" w:type="dxa"/>
            <w:shd w:val="clear" w:color="auto" w:fill="DBE3EF"/>
          </w:tcPr>
          <w:p>
            <w:pPr>
              <w:pStyle w:val="TableParagraph"/>
              <w:spacing w:line="296" w:lineRule="exact"/>
              <w:ind w:left="110"/>
              <w:rPr>
                <w:sz w:val="24"/>
              </w:rPr>
            </w:pPr>
            <w:r>
              <w:rPr>
                <w:spacing w:val="-2"/>
                <w:sz w:val="24"/>
              </w:rPr>
              <w:t>Marangkayu</w:t>
            </w:r>
          </w:p>
        </w:tc>
        <w:tc>
          <w:tcPr>
            <w:tcW w:w="1493" w:type="dxa"/>
            <w:shd w:val="clear" w:color="auto" w:fill="DBE3EF"/>
          </w:tcPr>
          <w:p>
            <w:pPr>
              <w:pStyle w:val="TableParagraph"/>
              <w:spacing w:line="296" w:lineRule="exact"/>
              <w:ind w:right="89"/>
              <w:jc w:val="right"/>
              <w:rPr>
                <w:sz w:val="24"/>
              </w:rPr>
            </w:pPr>
            <w:r>
              <w:rPr>
                <w:spacing w:val="-2"/>
                <w:sz w:val="24"/>
              </w:rPr>
              <w:t>864,19</w:t>
            </w:r>
          </w:p>
        </w:tc>
        <w:tc>
          <w:tcPr>
            <w:tcW w:w="1494" w:type="dxa"/>
            <w:shd w:val="clear" w:color="auto" w:fill="DBE3EF"/>
          </w:tcPr>
          <w:p>
            <w:pPr>
              <w:pStyle w:val="TableParagraph"/>
              <w:spacing w:line="296" w:lineRule="exact"/>
              <w:ind w:right="90"/>
              <w:jc w:val="right"/>
              <w:rPr>
                <w:sz w:val="24"/>
              </w:rPr>
            </w:pPr>
            <w:r>
              <w:rPr>
                <w:spacing w:val="-2"/>
                <w:sz w:val="24"/>
              </w:rPr>
              <w:t>145,50</w:t>
            </w:r>
          </w:p>
        </w:tc>
        <w:tc>
          <w:tcPr>
            <w:tcW w:w="2007" w:type="dxa"/>
            <w:shd w:val="clear" w:color="auto" w:fill="DBE3EF"/>
          </w:tcPr>
          <w:p>
            <w:pPr>
              <w:pStyle w:val="TableParagraph"/>
              <w:spacing w:line="296" w:lineRule="exact"/>
              <w:ind w:left="13" w:right="5"/>
              <w:jc w:val="center"/>
              <w:rPr>
                <w:sz w:val="24"/>
              </w:rPr>
            </w:pPr>
            <w:r>
              <w:rPr>
                <w:spacing w:val="-5"/>
                <w:sz w:val="24"/>
              </w:rPr>
              <w:t>11</w:t>
            </w:r>
          </w:p>
        </w:tc>
      </w:tr>
      <w:tr>
        <w:trPr>
          <w:trHeight w:val="321" w:hRule="atLeast"/>
        </w:trPr>
        <w:tc>
          <w:tcPr>
            <w:tcW w:w="701" w:type="dxa"/>
          </w:tcPr>
          <w:p>
            <w:pPr>
              <w:pStyle w:val="TableParagraph"/>
              <w:spacing w:line="300" w:lineRule="exact"/>
              <w:ind w:left="110"/>
              <w:rPr>
                <w:b/>
                <w:sz w:val="24"/>
              </w:rPr>
            </w:pPr>
            <w:r>
              <w:rPr>
                <w:b/>
                <w:spacing w:val="-5"/>
                <w:sz w:val="24"/>
              </w:rPr>
              <w:t>18.</w:t>
            </w:r>
          </w:p>
        </w:tc>
        <w:tc>
          <w:tcPr>
            <w:tcW w:w="2238" w:type="dxa"/>
          </w:tcPr>
          <w:p>
            <w:pPr>
              <w:pStyle w:val="TableParagraph"/>
              <w:spacing w:line="300" w:lineRule="exact"/>
              <w:ind w:left="110"/>
              <w:rPr>
                <w:sz w:val="24"/>
              </w:rPr>
            </w:pPr>
            <w:r>
              <w:rPr>
                <w:sz w:val="24"/>
              </w:rPr>
              <w:t>Muara</w:t>
            </w:r>
            <w:r>
              <w:rPr>
                <w:spacing w:val="-7"/>
                <w:sz w:val="24"/>
              </w:rPr>
              <w:t> </w:t>
            </w:r>
            <w:r>
              <w:rPr>
                <w:spacing w:val="-5"/>
                <w:sz w:val="24"/>
              </w:rPr>
              <w:t>Wis</w:t>
            </w:r>
          </w:p>
        </w:tc>
        <w:tc>
          <w:tcPr>
            <w:tcW w:w="1493" w:type="dxa"/>
          </w:tcPr>
          <w:p>
            <w:pPr>
              <w:pStyle w:val="TableParagraph"/>
              <w:spacing w:line="300" w:lineRule="exact"/>
              <w:ind w:right="85"/>
              <w:jc w:val="right"/>
              <w:rPr>
                <w:sz w:val="24"/>
              </w:rPr>
            </w:pPr>
            <w:r>
              <w:rPr>
                <w:spacing w:val="-2"/>
                <w:sz w:val="24"/>
              </w:rPr>
              <w:t>1.305,16</w:t>
            </w:r>
          </w:p>
        </w:tc>
        <w:tc>
          <w:tcPr>
            <w:tcW w:w="1494" w:type="dxa"/>
          </w:tcPr>
          <w:p>
            <w:pPr>
              <w:pStyle w:val="TableParagraph"/>
              <w:spacing w:line="300" w:lineRule="exact"/>
              <w:ind w:right="90"/>
              <w:jc w:val="right"/>
              <w:rPr>
                <w:sz w:val="24"/>
              </w:rPr>
            </w:pPr>
            <w:r>
              <w:rPr>
                <w:spacing w:val="-10"/>
                <w:sz w:val="24"/>
              </w:rPr>
              <w:t>-</w:t>
            </w:r>
          </w:p>
        </w:tc>
        <w:tc>
          <w:tcPr>
            <w:tcW w:w="2007" w:type="dxa"/>
          </w:tcPr>
          <w:p>
            <w:pPr>
              <w:pStyle w:val="TableParagraph"/>
              <w:spacing w:line="300" w:lineRule="exact"/>
              <w:ind w:left="13" w:right="1"/>
              <w:jc w:val="center"/>
              <w:rPr>
                <w:sz w:val="24"/>
              </w:rPr>
            </w:pPr>
            <w:r>
              <w:rPr>
                <w:spacing w:val="-10"/>
                <w:sz w:val="24"/>
              </w:rPr>
              <w:t>7</w:t>
            </w:r>
          </w:p>
        </w:tc>
      </w:tr>
      <w:tr>
        <w:trPr>
          <w:trHeight w:val="316" w:hRule="atLeast"/>
        </w:trPr>
        <w:tc>
          <w:tcPr>
            <w:tcW w:w="701" w:type="dxa"/>
            <w:shd w:val="clear" w:color="auto" w:fill="DBE3EF"/>
          </w:tcPr>
          <w:p>
            <w:pPr>
              <w:pStyle w:val="TableParagraph"/>
              <w:spacing w:line="296" w:lineRule="exact"/>
              <w:ind w:left="110"/>
              <w:rPr>
                <w:b/>
                <w:sz w:val="24"/>
              </w:rPr>
            </w:pPr>
            <w:r>
              <w:rPr>
                <w:b/>
                <w:spacing w:val="-5"/>
                <w:sz w:val="24"/>
              </w:rPr>
              <w:t>19.</w:t>
            </w:r>
          </w:p>
        </w:tc>
        <w:tc>
          <w:tcPr>
            <w:tcW w:w="2238" w:type="dxa"/>
            <w:shd w:val="clear" w:color="auto" w:fill="DBE3EF"/>
          </w:tcPr>
          <w:p>
            <w:pPr>
              <w:pStyle w:val="TableParagraph"/>
              <w:spacing w:line="296" w:lineRule="exact"/>
              <w:ind w:left="110"/>
              <w:rPr>
                <w:sz w:val="24"/>
              </w:rPr>
            </w:pPr>
            <w:r>
              <w:rPr>
                <w:sz w:val="24"/>
              </w:rPr>
              <w:t>Kota</w:t>
            </w:r>
            <w:r>
              <w:rPr>
                <w:spacing w:val="-10"/>
                <w:sz w:val="24"/>
              </w:rPr>
              <w:t> </w:t>
            </w:r>
            <w:r>
              <w:rPr>
                <w:sz w:val="24"/>
              </w:rPr>
              <w:t>Bangun</w:t>
            </w:r>
            <w:r>
              <w:rPr>
                <w:spacing w:val="-7"/>
                <w:sz w:val="24"/>
              </w:rPr>
              <w:t> </w:t>
            </w:r>
            <w:r>
              <w:rPr>
                <w:spacing w:val="-4"/>
                <w:sz w:val="24"/>
              </w:rPr>
              <w:t>Darat</w:t>
            </w:r>
          </w:p>
        </w:tc>
        <w:tc>
          <w:tcPr>
            <w:tcW w:w="1493" w:type="dxa"/>
            <w:shd w:val="clear" w:color="auto" w:fill="DBE3EF"/>
          </w:tcPr>
          <w:p>
            <w:pPr>
              <w:pStyle w:val="TableParagraph"/>
              <w:spacing w:line="296" w:lineRule="exact"/>
              <w:ind w:right="89"/>
              <w:jc w:val="right"/>
              <w:rPr>
                <w:sz w:val="24"/>
              </w:rPr>
            </w:pPr>
            <w:r>
              <w:rPr>
                <w:spacing w:val="-2"/>
                <w:sz w:val="24"/>
              </w:rPr>
              <w:t>459,89</w:t>
            </w:r>
          </w:p>
        </w:tc>
        <w:tc>
          <w:tcPr>
            <w:tcW w:w="1494" w:type="dxa"/>
            <w:shd w:val="clear" w:color="auto" w:fill="DBE3EF"/>
          </w:tcPr>
          <w:p>
            <w:pPr>
              <w:pStyle w:val="TableParagraph"/>
              <w:spacing w:line="296" w:lineRule="exact"/>
              <w:ind w:right="90"/>
              <w:jc w:val="right"/>
              <w:rPr>
                <w:sz w:val="24"/>
              </w:rPr>
            </w:pPr>
            <w:r>
              <w:rPr>
                <w:spacing w:val="-10"/>
                <w:sz w:val="24"/>
              </w:rPr>
              <w:t>-</w:t>
            </w:r>
          </w:p>
        </w:tc>
        <w:tc>
          <w:tcPr>
            <w:tcW w:w="2007" w:type="dxa"/>
            <w:shd w:val="clear" w:color="auto" w:fill="DBE3EF"/>
          </w:tcPr>
          <w:p>
            <w:pPr>
              <w:pStyle w:val="TableParagraph"/>
              <w:spacing w:line="296" w:lineRule="exact"/>
              <w:ind w:left="13" w:right="5"/>
              <w:jc w:val="center"/>
              <w:rPr>
                <w:sz w:val="24"/>
              </w:rPr>
            </w:pPr>
            <w:r>
              <w:rPr>
                <w:spacing w:val="-5"/>
                <w:sz w:val="24"/>
              </w:rPr>
              <w:t>10</w:t>
            </w:r>
          </w:p>
        </w:tc>
      </w:tr>
      <w:tr>
        <w:trPr>
          <w:trHeight w:val="321" w:hRule="atLeast"/>
        </w:trPr>
        <w:tc>
          <w:tcPr>
            <w:tcW w:w="701" w:type="dxa"/>
          </w:tcPr>
          <w:p>
            <w:pPr>
              <w:pStyle w:val="TableParagraph"/>
              <w:spacing w:line="301" w:lineRule="exact"/>
              <w:ind w:left="110"/>
              <w:rPr>
                <w:b/>
                <w:sz w:val="24"/>
              </w:rPr>
            </w:pPr>
            <w:r>
              <w:rPr>
                <w:b/>
                <w:spacing w:val="-5"/>
                <w:sz w:val="24"/>
              </w:rPr>
              <w:t>20.</w:t>
            </w:r>
          </w:p>
        </w:tc>
        <w:tc>
          <w:tcPr>
            <w:tcW w:w="2238" w:type="dxa"/>
          </w:tcPr>
          <w:p>
            <w:pPr>
              <w:pStyle w:val="TableParagraph"/>
              <w:spacing w:line="301" w:lineRule="exact"/>
              <w:ind w:left="110"/>
              <w:rPr>
                <w:sz w:val="24"/>
              </w:rPr>
            </w:pPr>
            <w:r>
              <w:rPr>
                <w:sz w:val="24"/>
              </w:rPr>
              <w:t>Samboja</w:t>
            </w:r>
            <w:r>
              <w:rPr>
                <w:spacing w:val="-13"/>
                <w:sz w:val="24"/>
              </w:rPr>
              <w:t> </w:t>
            </w:r>
            <w:r>
              <w:rPr>
                <w:spacing w:val="-4"/>
                <w:sz w:val="24"/>
              </w:rPr>
              <w:t>Barat</w:t>
            </w:r>
          </w:p>
        </w:tc>
        <w:tc>
          <w:tcPr>
            <w:tcW w:w="1493" w:type="dxa"/>
          </w:tcPr>
          <w:p>
            <w:pPr>
              <w:pStyle w:val="TableParagraph"/>
              <w:spacing w:line="301" w:lineRule="exact"/>
              <w:ind w:right="89"/>
              <w:jc w:val="right"/>
              <w:rPr>
                <w:sz w:val="24"/>
              </w:rPr>
            </w:pPr>
            <w:r>
              <w:rPr>
                <w:spacing w:val="-2"/>
                <w:sz w:val="24"/>
              </w:rPr>
              <w:t>416,61</w:t>
            </w:r>
          </w:p>
        </w:tc>
        <w:tc>
          <w:tcPr>
            <w:tcW w:w="1494" w:type="dxa"/>
          </w:tcPr>
          <w:p>
            <w:pPr>
              <w:pStyle w:val="TableParagraph"/>
              <w:spacing w:line="301" w:lineRule="exact"/>
              <w:ind w:right="90"/>
              <w:jc w:val="right"/>
              <w:rPr>
                <w:sz w:val="24"/>
              </w:rPr>
            </w:pPr>
            <w:r>
              <w:rPr>
                <w:spacing w:val="-2"/>
                <w:sz w:val="24"/>
              </w:rPr>
              <w:t>35,83</w:t>
            </w:r>
          </w:p>
        </w:tc>
        <w:tc>
          <w:tcPr>
            <w:tcW w:w="2007" w:type="dxa"/>
          </w:tcPr>
          <w:p>
            <w:pPr>
              <w:pStyle w:val="TableParagraph"/>
              <w:spacing w:line="301" w:lineRule="exact"/>
              <w:ind w:left="13" w:right="5"/>
              <w:jc w:val="center"/>
              <w:rPr>
                <w:sz w:val="24"/>
              </w:rPr>
            </w:pPr>
            <w:r>
              <w:rPr>
                <w:spacing w:val="-5"/>
                <w:sz w:val="24"/>
              </w:rPr>
              <w:t>10</w:t>
            </w:r>
          </w:p>
        </w:tc>
      </w:tr>
      <w:tr>
        <w:trPr>
          <w:trHeight w:val="317" w:hRule="atLeast"/>
        </w:trPr>
        <w:tc>
          <w:tcPr>
            <w:tcW w:w="2939" w:type="dxa"/>
            <w:gridSpan w:val="2"/>
            <w:shd w:val="clear" w:color="auto" w:fill="DBE3EF"/>
          </w:tcPr>
          <w:p>
            <w:pPr>
              <w:pStyle w:val="TableParagraph"/>
              <w:spacing w:line="297" w:lineRule="exact"/>
              <w:ind w:left="110"/>
              <w:rPr>
                <w:b/>
                <w:sz w:val="24"/>
              </w:rPr>
            </w:pPr>
            <w:r>
              <w:rPr>
                <w:b/>
                <w:spacing w:val="-4"/>
                <w:sz w:val="24"/>
              </w:rPr>
              <w:t>Total</w:t>
            </w:r>
          </w:p>
        </w:tc>
        <w:tc>
          <w:tcPr>
            <w:tcW w:w="1493" w:type="dxa"/>
            <w:shd w:val="clear" w:color="auto" w:fill="DBE3EF"/>
          </w:tcPr>
          <w:p>
            <w:pPr>
              <w:pStyle w:val="TableParagraph"/>
              <w:spacing w:line="297" w:lineRule="exact"/>
              <w:ind w:right="87"/>
              <w:jc w:val="right"/>
              <w:rPr>
                <w:b/>
                <w:sz w:val="24"/>
              </w:rPr>
            </w:pPr>
            <w:r>
              <w:rPr>
                <w:b/>
                <w:spacing w:val="-2"/>
                <w:sz w:val="24"/>
              </w:rPr>
              <w:t>26.867,51</w:t>
            </w:r>
          </w:p>
        </w:tc>
        <w:tc>
          <w:tcPr>
            <w:tcW w:w="1494" w:type="dxa"/>
            <w:shd w:val="clear" w:color="auto" w:fill="DBE3EF"/>
          </w:tcPr>
          <w:p>
            <w:pPr>
              <w:pStyle w:val="TableParagraph"/>
              <w:spacing w:line="297" w:lineRule="exact"/>
              <w:ind w:right="92"/>
              <w:jc w:val="right"/>
              <w:rPr>
                <w:b/>
                <w:sz w:val="24"/>
              </w:rPr>
            </w:pPr>
            <w:r>
              <w:rPr>
                <w:b/>
                <w:spacing w:val="-2"/>
                <w:sz w:val="24"/>
              </w:rPr>
              <w:t>1.868,36</w:t>
            </w:r>
          </w:p>
        </w:tc>
        <w:tc>
          <w:tcPr>
            <w:tcW w:w="2007" w:type="dxa"/>
            <w:shd w:val="clear" w:color="auto" w:fill="DBE3EF"/>
          </w:tcPr>
          <w:p>
            <w:pPr>
              <w:pStyle w:val="TableParagraph"/>
              <w:spacing w:line="297" w:lineRule="exact"/>
              <w:ind w:left="13"/>
              <w:jc w:val="center"/>
              <w:rPr>
                <w:b/>
                <w:sz w:val="24"/>
              </w:rPr>
            </w:pPr>
            <w:r>
              <w:rPr>
                <w:b/>
                <w:spacing w:val="-5"/>
                <w:sz w:val="24"/>
              </w:rPr>
              <w:t>237</w:t>
            </w:r>
          </w:p>
        </w:tc>
      </w:tr>
    </w:tbl>
    <w:p>
      <w:pPr>
        <w:pStyle w:val="BodyText"/>
        <w:spacing w:line="237" w:lineRule="auto" w:before="14"/>
        <w:ind w:left="1421" w:right="720" w:hanging="855"/>
        <w:jc w:val="left"/>
      </w:pPr>
      <w:r>
        <w:rPr>
          <w:i/>
        </w:rPr>
        <w:t>Sumber</w:t>
      </w:r>
      <w:r>
        <w:rPr/>
        <w:t>:</w:t>
      </w:r>
      <w:r>
        <w:rPr>
          <w:spacing w:val="40"/>
        </w:rPr>
        <w:t> </w:t>
      </w:r>
      <w:r>
        <w:rPr/>
        <w:t>LKPJ</w:t>
      </w:r>
      <w:r>
        <w:rPr>
          <w:spacing w:val="40"/>
        </w:rPr>
        <w:t> </w:t>
      </w:r>
      <w:r>
        <w:rPr/>
        <w:t>Laporan</w:t>
      </w:r>
      <w:r>
        <w:rPr>
          <w:spacing w:val="40"/>
        </w:rPr>
        <w:t> </w:t>
      </w:r>
      <w:r>
        <w:rPr/>
        <w:t>Keterangan</w:t>
      </w:r>
      <w:r>
        <w:rPr>
          <w:spacing w:val="40"/>
        </w:rPr>
        <w:t> </w:t>
      </w:r>
      <w:r>
        <w:rPr/>
        <w:t>Pertanggungjawaban</w:t>
      </w:r>
      <w:r>
        <w:rPr>
          <w:spacing w:val="40"/>
        </w:rPr>
        <w:t> </w:t>
      </w:r>
      <w:r>
        <w:rPr/>
        <w:t>Tahun</w:t>
      </w:r>
      <w:r>
        <w:rPr>
          <w:spacing w:val="40"/>
        </w:rPr>
        <w:t> </w:t>
      </w:r>
      <w:r>
        <w:rPr/>
        <w:t>2022 Pemerintah Kabupaten Kutai Kartanegara, hal. 18, 2023.</w:t>
      </w:r>
    </w:p>
    <w:p>
      <w:pPr>
        <w:pStyle w:val="BodyText"/>
        <w:jc w:val="left"/>
      </w:pPr>
    </w:p>
    <w:p>
      <w:pPr>
        <w:pStyle w:val="BodyText"/>
        <w:spacing w:before="3"/>
        <w:jc w:val="left"/>
      </w:pPr>
    </w:p>
    <w:p>
      <w:pPr>
        <w:pStyle w:val="BodyText"/>
        <w:spacing w:line="360" w:lineRule="auto"/>
        <w:ind w:left="993" w:right="600" w:firstLine="710"/>
        <w:jc w:val="left"/>
      </w:pPr>
      <w:r>
        <w:rPr/>
        <w:t>Kabupaten</w:t>
      </w:r>
      <w:r>
        <w:rPr>
          <w:spacing w:val="40"/>
        </w:rPr>
        <w:t> </w:t>
      </w:r>
      <w:r>
        <w:rPr/>
        <w:t>Kutai</w:t>
      </w:r>
      <w:r>
        <w:rPr>
          <w:spacing w:val="40"/>
        </w:rPr>
        <w:t> </w:t>
      </w:r>
      <w:r>
        <w:rPr/>
        <w:t>Kartanegara</w:t>
      </w:r>
      <w:r>
        <w:rPr>
          <w:spacing w:val="40"/>
        </w:rPr>
        <w:t> </w:t>
      </w:r>
      <w:r>
        <w:rPr/>
        <w:t>secara</w:t>
      </w:r>
      <w:r>
        <w:rPr>
          <w:spacing w:val="40"/>
        </w:rPr>
        <w:t> </w:t>
      </w:r>
      <w:r>
        <w:rPr/>
        <w:t>administratif</w:t>
      </w:r>
      <w:r>
        <w:rPr>
          <w:spacing w:val="40"/>
        </w:rPr>
        <w:t> </w:t>
      </w:r>
      <w:r>
        <w:rPr/>
        <w:t>memiliki perbatasan sebagai berikut (lihat Gambar 2):</w:t>
      </w:r>
    </w:p>
    <w:p>
      <w:pPr>
        <w:pStyle w:val="ListParagraph"/>
        <w:numPr>
          <w:ilvl w:val="2"/>
          <w:numId w:val="30"/>
        </w:numPr>
        <w:tabs>
          <w:tab w:pos="1276" w:val="left" w:leader="none"/>
        </w:tabs>
        <w:spacing w:line="321" w:lineRule="exact" w:before="0" w:after="0"/>
        <w:ind w:left="1276" w:right="0" w:hanging="283"/>
        <w:jc w:val="left"/>
        <w:rPr>
          <w:sz w:val="24"/>
        </w:rPr>
      </w:pPr>
      <w:r>
        <w:rPr>
          <w:sz w:val="24"/>
        </w:rPr>
        <w:t>Sebelah</w:t>
      </w:r>
      <w:r>
        <w:rPr>
          <w:spacing w:val="-8"/>
          <w:sz w:val="24"/>
        </w:rPr>
        <w:t> </w:t>
      </w:r>
      <w:r>
        <w:rPr>
          <w:sz w:val="24"/>
        </w:rPr>
        <w:t>Utara:</w:t>
      </w:r>
      <w:r>
        <w:rPr>
          <w:spacing w:val="-5"/>
          <w:sz w:val="24"/>
        </w:rPr>
        <w:t> </w:t>
      </w:r>
      <w:r>
        <w:rPr>
          <w:sz w:val="24"/>
        </w:rPr>
        <w:t>Kabupaten</w:t>
      </w:r>
      <w:r>
        <w:rPr>
          <w:spacing w:val="-7"/>
          <w:sz w:val="24"/>
        </w:rPr>
        <w:t> </w:t>
      </w:r>
      <w:r>
        <w:rPr>
          <w:sz w:val="24"/>
        </w:rPr>
        <w:t>Malinau</w:t>
      </w:r>
      <w:r>
        <w:rPr>
          <w:spacing w:val="-8"/>
          <w:sz w:val="24"/>
        </w:rPr>
        <w:t> </w:t>
      </w:r>
      <w:r>
        <w:rPr>
          <w:sz w:val="24"/>
        </w:rPr>
        <w:t>Provinsi</w:t>
      </w:r>
      <w:r>
        <w:rPr>
          <w:spacing w:val="-7"/>
          <w:sz w:val="24"/>
        </w:rPr>
        <w:t> </w:t>
      </w:r>
      <w:r>
        <w:rPr>
          <w:sz w:val="24"/>
        </w:rPr>
        <w:t>Kalimantan</w:t>
      </w:r>
      <w:r>
        <w:rPr>
          <w:spacing w:val="-2"/>
          <w:sz w:val="24"/>
        </w:rPr>
        <w:t> Utara;</w:t>
      </w:r>
    </w:p>
    <w:p>
      <w:pPr>
        <w:pStyle w:val="ListParagraph"/>
        <w:numPr>
          <w:ilvl w:val="2"/>
          <w:numId w:val="30"/>
        </w:numPr>
        <w:tabs>
          <w:tab w:pos="1276" w:val="left" w:leader="none"/>
        </w:tabs>
        <w:spacing w:line="352" w:lineRule="auto" w:before="152" w:after="0"/>
        <w:ind w:left="1276" w:right="745" w:hanging="284"/>
        <w:jc w:val="left"/>
        <w:rPr>
          <w:sz w:val="24"/>
        </w:rPr>
      </w:pPr>
      <w:r>
        <w:rPr>
          <w:sz w:val="24"/>
        </w:rPr>
        <w:t>Sebelah</w:t>
      </w:r>
      <w:r>
        <w:rPr>
          <w:spacing w:val="40"/>
          <w:sz w:val="24"/>
        </w:rPr>
        <w:t> </w:t>
      </w:r>
      <w:r>
        <w:rPr>
          <w:sz w:val="24"/>
        </w:rPr>
        <w:t>Timur:</w:t>
      </w:r>
      <w:r>
        <w:rPr>
          <w:spacing w:val="40"/>
          <w:sz w:val="24"/>
        </w:rPr>
        <w:t> </w:t>
      </w:r>
      <w:r>
        <w:rPr>
          <w:sz w:val="24"/>
        </w:rPr>
        <w:t>Kabupaten</w:t>
      </w:r>
      <w:r>
        <w:rPr>
          <w:spacing w:val="40"/>
          <w:sz w:val="24"/>
        </w:rPr>
        <w:t> </w:t>
      </w:r>
      <w:r>
        <w:rPr>
          <w:sz w:val="24"/>
        </w:rPr>
        <w:t>Kutai</w:t>
      </w:r>
      <w:r>
        <w:rPr>
          <w:spacing w:val="40"/>
          <w:sz w:val="24"/>
        </w:rPr>
        <w:t> </w:t>
      </w:r>
      <w:r>
        <w:rPr>
          <w:sz w:val="24"/>
        </w:rPr>
        <w:t>Timur,</w:t>
      </w:r>
      <w:r>
        <w:rPr>
          <w:spacing w:val="40"/>
          <w:sz w:val="24"/>
        </w:rPr>
        <w:t> </w:t>
      </w:r>
      <w:r>
        <w:rPr>
          <w:sz w:val="24"/>
        </w:rPr>
        <w:t>Kota</w:t>
      </w:r>
      <w:r>
        <w:rPr>
          <w:spacing w:val="40"/>
          <w:sz w:val="24"/>
        </w:rPr>
        <w:t> </w:t>
      </w:r>
      <w:r>
        <w:rPr>
          <w:sz w:val="24"/>
        </w:rPr>
        <w:t>Bontang,</w:t>
      </w:r>
      <w:r>
        <w:rPr>
          <w:spacing w:val="40"/>
          <w:sz w:val="24"/>
        </w:rPr>
        <w:t> </w:t>
      </w:r>
      <w:r>
        <w:rPr>
          <w:sz w:val="24"/>
        </w:rPr>
        <w:t>dan</w:t>
      </w:r>
      <w:r>
        <w:rPr>
          <w:spacing w:val="40"/>
          <w:sz w:val="24"/>
        </w:rPr>
        <w:t> </w:t>
      </w:r>
      <w:r>
        <w:rPr>
          <w:sz w:val="24"/>
        </w:rPr>
        <w:t>Selat </w:t>
      </w:r>
      <w:r>
        <w:rPr>
          <w:spacing w:val="-2"/>
          <w:sz w:val="24"/>
        </w:rPr>
        <w:t>Makasar;</w:t>
      </w:r>
    </w:p>
    <w:p>
      <w:pPr>
        <w:pStyle w:val="ListParagraph"/>
        <w:spacing w:after="0" w:line="352" w:lineRule="auto"/>
        <w:jc w:val="left"/>
        <w:rPr>
          <w:sz w:val="24"/>
        </w:rPr>
        <w:sectPr>
          <w:pgSz w:w="11910" w:h="16840"/>
          <w:pgMar w:header="0" w:footer="1186" w:top="1920" w:bottom="1380" w:left="1700" w:right="992"/>
        </w:sectPr>
      </w:pPr>
    </w:p>
    <w:p>
      <w:pPr>
        <w:pStyle w:val="ListParagraph"/>
        <w:numPr>
          <w:ilvl w:val="2"/>
          <w:numId w:val="30"/>
        </w:numPr>
        <w:tabs>
          <w:tab w:pos="1276" w:val="left" w:leader="none"/>
          <w:tab w:pos="2328" w:val="left" w:leader="none"/>
          <w:tab w:pos="3365" w:val="left" w:leader="none"/>
          <w:tab w:pos="4724" w:val="left" w:leader="none"/>
          <w:tab w:pos="5843" w:val="left" w:leader="none"/>
          <w:tab w:pos="6626" w:val="left" w:leader="none"/>
          <w:tab w:pos="7408" w:val="left" w:leader="none"/>
          <w:tab w:pos="8023" w:val="left" w:leader="none"/>
        </w:tabs>
        <w:spacing w:line="352" w:lineRule="auto" w:before="82" w:after="0"/>
        <w:ind w:left="1276" w:right="709" w:hanging="284"/>
        <w:jc w:val="left"/>
        <w:rPr>
          <w:sz w:val="24"/>
        </w:rPr>
      </w:pPr>
      <w:r>
        <w:rPr>
          <w:spacing w:val="-2"/>
          <w:sz w:val="24"/>
        </w:rPr>
        <w:t>Sebelah</w:t>
      </w:r>
      <w:r>
        <w:rPr>
          <w:sz w:val="24"/>
        </w:rPr>
        <w:tab/>
      </w:r>
      <w:r>
        <w:rPr>
          <w:spacing w:val="-2"/>
          <w:sz w:val="24"/>
        </w:rPr>
        <w:t>Selatan:</w:t>
      </w:r>
      <w:r>
        <w:rPr>
          <w:sz w:val="24"/>
        </w:rPr>
        <w:tab/>
      </w:r>
      <w:r>
        <w:rPr>
          <w:spacing w:val="-2"/>
          <w:sz w:val="24"/>
        </w:rPr>
        <w:t>Kabupaten</w:t>
      </w:r>
      <w:r>
        <w:rPr>
          <w:sz w:val="24"/>
        </w:rPr>
        <w:tab/>
      </w:r>
      <w:r>
        <w:rPr>
          <w:spacing w:val="-2"/>
          <w:sz w:val="24"/>
        </w:rPr>
        <w:t>Penajam</w:t>
      </w:r>
      <w:r>
        <w:rPr>
          <w:sz w:val="24"/>
        </w:rPr>
        <w:tab/>
      </w:r>
      <w:r>
        <w:rPr>
          <w:spacing w:val="-2"/>
          <w:sz w:val="24"/>
        </w:rPr>
        <w:t>Paser</w:t>
      </w:r>
      <w:r>
        <w:rPr>
          <w:sz w:val="24"/>
        </w:rPr>
        <w:tab/>
      </w:r>
      <w:r>
        <w:rPr>
          <w:spacing w:val="-2"/>
          <w:sz w:val="24"/>
        </w:rPr>
        <w:t>Utara</w:t>
      </w:r>
      <w:r>
        <w:rPr>
          <w:sz w:val="24"/>
        </w:rPr>
        <w:tab/>
      </w:r>
      <w:r>
        <w:rPr>
          <w:spacing w:val="-4"/>
          <w:sz w:val="24"/>
        </w:rPr>
        <w:t>dan</w:t>
      </w:r>
      <w:r>
        <w:rPr>
          <w:sz w:val="24"/>
        </w:rPr>
        <w:tab/>
      </w:r>
      <w:r>
        <w:rPr>
          <w:spacing w:val="-4"/>
          <w:sz w:val="24"/>
        </w:rPr>
        <w:t>Kota </w:t>
      </w:r>
      <w:r>
        <w:rPr>
          <w:spacing w:val="-2"/>
          <w:sz w:val="24"/>
        </w:rPr>
        <w:t>Balikpapan;</w:t>
      </w:r>
    </w:p>
    <w:p>
      <w:pPr>
        <w:pStyle w:val="ListParagraph"/>
        <w:numPr>
          <w:ilvl w:val="2"/>
          <w:numId w:val="30"/>
        </w:numPr>
        <w:tabs>
          <w:tab w:pos="1276" w:val="left" w:leader="none"/>
        </w:tabs>
        <w:spacing w:line="240" w:lineRule="auto" w:before="8" w:after="0"/>
        <w:ind w:left="1276" w:right="0" w:hanging="283"/>
        <w:jc w:val="left"/>
        <w:rPr>
          <w:sz w:val="24"/>
        </w:rPr>
      </w:pPr>
      <w:r>
        <w:rPr>
          <w:sz w:val="24"/>
        </w:rPr>
        <w:t>Sebelah</w:t>
      </w:r>
      <w:r>
        <w:rPr>
          <w:spacing w:val="-7"/>
          <w:sz w:val="24"/>
        </w:rPr>
        <w:t> </w:t>
      </w:r>
      <w:r>
        <w:rPr>
          <w:sz w:val="24"/>
        </w:rPr>
        <w:t>Barat:</w:t>
      </w:r>
      <w:r>
        <w:rPr>
          <w:spacing w:val="-2"/>
          <w:sz w:val="24"/>
        </w:rPr>
        <w:t> </w:t>
      </w:r>
      <w:r>
        <w:rPr>
          <w:sz w:val="24"/>
        </w:rPr>
        <w:t>Kabupaten</w:t>
      </w:r>
      <w:r>
        <w:rPr>
          <w:spacing w:val="-5"/>
          <w:sz w:val="24"/>
        </w:rPr>
        <w:t> </w:t>
      </w:r>
      <w:r>
        <w:rPr>
          <w:sz w:val="24"/>
        </w:rPr>
        <w:t>Mahakam</w:t>
      </w:r>
      <w:r>
        <w:rPr>
          <w:spacing w:val="-4"/>
          <w:sz w:val="24"/>
        </w:rPr>
        <w:t> </w:t>
      </w:r>
      <w:r>
        <w:rPr>
          <w:sz w:val="24"/>
        </w:rPr>
        <w:t>Ulu</w:t>
      </w:r>
      <w:r>
        <w:rPr>
          <w:spacing w:val="-6"/>
          <w:sz w:val="24"/>
        </w:rPr>
        <w:t> </w:t>
      </w:r>
      <w:r>
        <w:rPr>
          <w:sz w:val="24"/>
        </w:rPr>
        <w:t>dan</w:t>
      </w:r>
      <w:r>
        <w:rPr>
          <w:spacing w:val="-5"/>
          <w:sz w:val="24"/>
        </w:rPr>
        <w:t> </w:t>
      </w:r>
      <w:r>
        <w:rPr>
          <w:sz w:val="24"/>
        </w:rPr>
        <w:t>Kabupaten</w:t>
      </w:r>
      <w:r>
        <w:rPr>
          <w:spacing w:val="-5"/>
          <w:sz w:val="24"/>
        </w:rPr>
        <w:t> </w:t>
      </w:r>
      <w:r>
        <w:rPr>
          <w:sz w:val="24"/>
        </w:rPr>
        <w:t>Kutai</w:t>
      </w:r>
      <w:r>
        <w:rPr>
          <w:spacing w:val="-8"/>
          <w:sz w:val="24"/>
        </w:rPr>
        <w:t> </w:t>
      </w:r>
      <w:r>
        <w:rPr>
          <w:spacing w:val="-2"/>
          <w:sz w:val="24"/>
        </w:rPr>
        <w:t>Barat.</w:t>
      </w:r>
    </w:p>
    <w:p>
      <w:pPr>
        <w:pStyle w:val="BodyText"/>
        <w:spacing w:before="12"/>
        <w:jc w:val="left"/>
        <w:rPr>
          <w:sz w:val="9"/>
        </w:rPr>
      </w:pPr>
      <w:r>
        <w:rPr>
          <w:sz w:val="9"/>
        </w:rPr>
        <w:drawing>
          <wp:anchor distT="0" distB="0" distL="0" distR="0" allowOverlap="1" layoutInCell="1" locked="0" behindDoc="1" simplePos="0" relativeHeight="487588352">
            <wp:simplePos x="0" y="0"/>
            <wp:positionH relativeFrom="page">
              <wp:posOffset>1469389</wp:posOffset>
            </wp:positionH>
            <wp:positionV relativeFrom="paragraph">
              <wp:posOffset>99085</wp:posOffset>
            </wp:positionV>
            <wp:extent cx="5108200" cy="421005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108200" cy="4210050"/>
                    </a:xfrm>
                    <a:prstGeom prst="rect">
                      <a:avLst/>
                    </a:prstGeom>
                  </pic:spPr>
                </pic:pic>
              </a:graphicData>
            </a:graphic>
          </wp:anchor>
        </w:drawing>
      </w:r>
    </w:p>
    <w:p>
      <w:pPr>
        <w:spacing w:before="77"/>
        <w:ind w:left="806" w:right="0" w:firstLine="0"/>
        <w:jc w:val="left"/>
        <w:rPr>
          <w:rFonts w:ascii="Lucida Sans Unicode"/>
          <w:sz w:val="22"/>
        </w:rPr>
      </w:pPr>
      <w:bookmarkStart w:name="_bookmark35" w:id="36"/>
      <w:bookmarkEnd w:id="36"/>
      <w:r>
        <w:rPr/>
      </w:r>
      <w:r>
        <w:rPr>
          <w:rFonts w:ascii="Tahoma"/>
          <w:b/>
          <w:w w:val="105"/>
          <w:sz w:val="22"/>
        </w:rPr>
        <w:t>Gambar</w:t>
      </w:r>
      <w:r>
        <w:rPr>
          <w:rFonts w:ascii="Tahoma"/>
          <w:b/>
          <w:spacing w:val="-17"/>
          <w:w w:val="105"/>
          <w:sz w:val="22"/>
        </w:rPr>
        <w:t> </w:t>
      </w:r>
      <w:r>
        <w:rPr>
          <w:rFonts w:ascii="Tahoma"/>
          <w:b/>
          <w:w w:val="105"/>
          <w:sz w:val="22"/>
        </w:rPr>
        <w:t>2.</w:t>
      </w:r>
      <w:r>
        <w:rPr>
          <w:rFonts w:ascii="Tahoma"/>
          <w:b/>
          <w:spacing w:val="-14"/>
          <w:w w:val="105"/>
          <w:sz w:val="22"/>
        </w:rPr>
        <w:t> </w:t>
      </w:r>
      <w:r>
        <w:rPr>
          <w:rFonts w:ascii="Lucida Sans Unicode"/>
          <w:w w:val="105"/>
          <w:sz w:val="22"/>
        </w:rPr>
        <w:t>Peta</w:t>
      </w:r>
      <w:r>
        <w:rPr>
          <w:rFonts w:ascii="Lucida Sans Unicode"/>
          <w:spacing w:val="-18"/>
          <w:w w:val="105"/>
          <w:sz w:val="22"/>
        </w:rPr>
        <w:t> </w:t>
      </w:r>
      <w:r>
        <w:rPr>
          <w:rFonts w:ascii="Lucida Sans Unicode"/>
          <w:w w:val="105"/>
          <w:sz w:val="22"/>
        </w:rPr>
        <w:t>Wilayah</w:t>
      </w:r>
      <w:r>
        <w:rPr>
          <w:rFonts w:ascii="Lucida Sans Unicode"/>
          <w:spacing w:val="-14"/>
          <w:w w:val="105"/>
          <w:sz w:val="22"/>
        </w:rPr>
        <w:t> </w:t>
      </w:r>
      <w:r>
        <w:rPr>
          <w:rFonts w:ascii="Lucida Sans Unicode"/>
          <w:w w:val="105"/>
          <w:sz w:val="22"/>
        </w:rPr>
        <w:t>Kabupaten</w:t>
      </w:r>
      <w:r>
        <w:rPr>
          <w:rFonts w:ascii="Lucida Sans Unicode"/>
          <w:spacing w:val="-14"/>
          <w:w w:val="105"/>
          <w:sz w:val="22"/>
        </w:rPr>
        <w:t> </w:t>
      </w:r>
      <w:r>
        <w:rPr>
          <w:rFonts w:ascii="Lucida Sans Unicode"/>
          <w:w w:val="105"/>
          <w:sz w:val="22"/>
        </w:rPr>
        <w:t>Kutai</w:t>
      </w:r>
      <w:r>
        <w:rPr>
          <w:rFonts w:ascii="Lucida Sans Unicode"/>
          <w:spacing w:val="-19"/>
          <w:w w:val="105"/>
          <w:sz w:val="22"/>
        </w:rPr>
        <w:t> </w:t>
      </w:r>
      <w:r>
        <w:rPr>
          <w:rFonts w:ascii="Lucida Sans Unicode"/>
          <w:w w:val="105"/>
          <w:sz w:val="22"/>
        </w:rPr>
        <w:t>Kartanegara</w:t>
      </w:r>
      <w:r>
        <w:rPr>
          <w:rFonts w:ascii="Lucida Sans Unicode"/>
          <w:spacing w:val="-16"/>
          <w:w w:val="105"/>
          <w:sz w:val="22"/>
        </w:rPr>
        <w:t> </w:t>
      </w:r>
      <w:r>
        <w:rPr>
          <w:rFonts w:ascii="Lucida Sans Unicode"/>
          <w:w w:val="105"/>
          <w:sz w:val="22"/>
        </w:rPr>
        <w:t>Sebelum</w:t>
      </w:r>
      <w:r>
        <w:rPr>
          <w:rFonts w:ascii="Lucida Sans Unicode"/>
          <w:spacing w:val="-18"/>
          <w:w w:val="105"/>
          <w:sz w:val="22"/>
        </w:rPr>
        <w:t> </w:t>
      </w:r>
      <w:r>
        <w:rPr>
          <w:rFonts w:ascii="Lucida Sans Unicode"/>
          <w:spacing w:val="-5"/>
          <w:w w:val="105"/>
          <w:sz w:val="22"/>
        </w:rPr>
        <w:t>IKN</w:t>
      </w:r>
    </w:p>
    <w:p>
      <w:pPr>
        <w:pStyle w:val="BodyText"/>
        <w:spacing w:line="237" w:lineRule="auto" w:before="179"/>
        <w:ind w:left="1843" w:hanging="783"/>
        <w:jc w:val="left"/>
      </w:pPr>
      <w:r>
        <w:rPr>
          <w:i/>
        </w:rPr>
        <w:t>Sumber</w:t>
      </w:r>
      <w:r>
        <w:rPr/>
        <w:t>: LKPJ Laporan</w:t>
      </w:r>
      <w:r>
        <w:rPr>
          <w:spacing w:val="31"/>
        </w:rPr>
        <w:t> </w:t>
      </w:r>
      <w:r>
        <w:rPr/>
        <w:t>Keterangan</w:t>
      </w:r>
      <w:r>
        <w:rPr>
          <w:spacing w:val="31"/>
        </w:rPr>
        <w:t> </w:t>
      </w:r>
      <w:r>
        <w:rPr/>
        <w:t>Pertanggungjawaban</w:t>
      </w:r>
      <w:r>
        <w:rPr>
          <w:spacing w:val="31"/>
        </w:rPr>
        <w:t> </w:t>
      </w:r>
      <w:r>
        <w:rPr/>
        <w:t>Tahun</w:t>
      </w:r>
      <w:r>
        <w:rPr>
          <w:spacing w:val="31"/>
        </w:rPr>
        <w:t> </w:t>
      </w:r>
      <w:r>
        <w:rPr/>
        <w:t>2022 Pemerintah Kabupaten Kutai Kartanegara, hal. 19, 2023.</w:t>
      </w:r>
    </w:p>
    <w:p>
      <w:pPr>
        <w:pStyle w:val="BodyText"/>
        <w:spacing w:before="242"/>
        <w:jc w:val="left"/>
      </w:pPr>
    </w:p>
    <w:p>
      <w:pPr>
        <w:pStyle w:val="Heading2"/>
        <w:numPr>
          <w:ilvl w:val="1"/>
          <w:numId w:val="30"/>
        </w:numPr>
        <w:tabs>
          <w:tab w:pos="977" w:val="left" w:leader="none"/>
        </w:tabs>
        <w:spacing w:line="240" w:lineRule="auto" w:before="0" w:after="0"/>
        <w:ind w:left="977" w:right="0" w:hanging="411"/>
        <w:jc w:val="both"/>
      </w:pPr>
      <w:bookmarkStart w:name="_bookmark36" w:id="37"/>
      <w:bookmarkEnd w:id="37"/>
      <w:r>
        <w:rPr>
          <w:b w:val="0"/>
        </w:rPr>
      </w:r>
      <w:r>
        <w:rPr/>
        <w:t>Gambaran</w:t>
      </w:r>
      <w:r>
        <w:rPr>
          <w:spacing w:val="-8"/>
        </w:rPr>
        <w:t> </w:t>
      </w:r>
      <w:r>
        <w:rPr/>
        <w:t>Wilayah</w:t>
      </w:r>
      <w:r>
        <w:rPr>
          <w:spacing w:val="-7"/>
        </w:rPr>
        <w:t> </w:t>
      </w:r>
      <w:r>
        <w:rPr/>
        <w:t>Kabupaten</w:t>
      </w:r>
      <w:r>
        <w:rPr>
          <w:spacing w:val="-9"/>
        </w:rPr>
        <w:t> </w:t>
      </w:r>
      <w:r>
        <w:rPr/>
        <w:t>Kutai</w:t>
      </w:r>
      <w:r>
        <w:rPr>
          <w:spacing w:val="-9"/>
        </w:rPr>
        <w:t> </w:t>
      </w:r>
      <w:r>
        <w:rPr/>
        <w:t>Kartanegara</w:t>
      </w:r>
      <w:r>
        <w:rPr>
          <w:spacing w:val="-6"/>
        </w:rPr>
        <w:t> </w:t>
      </w:r>
      <w:r>
        <w:rPr/>
        <w:t>Pasca</w:t>
      </w:r>
      <w:r>
        <w:rPr>
          <w:spacing w:val="-6"/>
        </w:rPr>
        <w:t> </w:t>
      </w:r>
      <w:r>
        <w:rPr>
          <w:spacing w:val="-5"/>
        </w:rPr>
        <w:t>IKN</w:t>
      </w:r>
    </w:p>
    <w:p>
      <w:pPr>
        <w:pStyle w:val="BodyText"/>
        <w:spacing w:line="360" w:lineRule="auto" w:before="223"/>
        <w:ind w:left="993" w:right="701" w:firstLine="710"/>
      </w:pPr>
      <w:r>
        <w:rPr/>
        <w:t>Lahirnya UU Nomor 3 Tahun 2023 tentang Ibu Kota Negara sebagaimana telah diubah melalui UU Nomor 21 Tahun 2023, telah mengakibatkan terjadinya perubahan terhadap wilayah Kabupaten Kutai Kartanegara. Perubahan dimaksud karena diambilnya sebagian wilayah Kabupaten Kutai Kartanegara menjadi wilayah IKN. Perubahan</w:t>
      </w:r>
    </w:p>
    <w:p>
      <w:pPr>
        <w:pStyle w:val="BodyText"/>
        <w:spacing w:after="0" w:line="360" w:lineRule="auto"/>
        <w:sectPr>
          <w:pgSz w:w="11910" w:h="16840"/>
          <w:pgMar w:header="0" w:footer="1186" w:top="1580" w:bottom="1380" w:left="1700" w:right="992"/>
        </w:sectPr>
      </w:pPr>
    </w:p>
    <w:p>
      <w:pPr>
        <w:pStyle w:val="BodyText"/>
        <w:spacing w:line="360" w:lineRule="auto" w:before="82"/>
        <w:ind w:left="993" w:right="720"/>
        <w:jc w:val="left"/>
      </w:pPr>
      <w:r>
        <w:rPr/>
        <w:t>cakupan wilayah tidak hanya</w:t>
      </w:r>
      <w:r>
        <w:rPr>
          <w:spacing w:val="-1"/>
        </w:rPr>
        <w:t> </w:t>
      </w:r>
      <w:r>
        <w:rPr/>
        <w:t>terjadi menurut UU</w:t>
      </w:r>
      <w:r>
        <w:rPr>
          <w:spacing w:val="-1"/>
        </w:rPr>
        <w:t> </w:t>
      </w:r>
      <w:r>
        <w:rPr/>
        <w:t>Nomor 3 Tahun 2022 namun juga menurut UU Nomor 21 Tahun 2023.</w:t>
      </w:r>
    </w:p>
    <w:p>
      <w:pPr>
        <w:pStyle w:val="BodyText"/>
        <w:spacing w:line="360" w:lineRule="auto" w:before="3"/>
        <w:ind w:left="993" w:right="720" w:firstLine="710"/>
        <w:jc w:val="left"/>
      </w:pPr>
      <w:r>
        <w:rPr/>
        <w:t>Adapun</w:t>
      </w:r>
      <w:r>
        <w:rPr>
          <w:spacing w:val="40"/>
        </w:rPr>
        <w:t> </w:t>
      </w:r>
      <w:r>
        <w:rPr/>
        <w:t>cakupan</w:t>
      </w:r>
      <w:r>
        <w:rPr>
          <w:spacing w:val="40"/>
        </w:rPr>
        <w:t> </w:t>
      </w:r>
      <w:r>
        <w:rPr/>
        <w:t>wilayah</w:t>
      </w:r>
      <w:r>
        <w:rPr>
          <w:spacing w:val="40"/>
        </w:rPr>
        <w:t> </w:t>
      </w:r>
      <w:r>
        <w:rPr/>
        <w:t>IKN</w:t>
      </w:r>
      <w:r>
        <w:rPr>
          <w:spacing w:val="40"/>
        </w:rPr>
        <w:t> </w:t>
      </w:r>
      <w:r>
        <w:rPr/>
        <w:t>menurut</w:t>
      </w:r>
      <w:r>
        <w:rPr>
          <w:spacing w:val="40"/>
        </w:rPr>
        <w:t> </w:t>
      </w:r>
      <w:r>
        <w:rPr/>
        <w:t>Pasal</w:t>
      </w:r>
      <w:r>
        <w:rPr>
          <w:spacing w:val="40"/>
        </w:rPr>
        <w:t> </w:t>
      </w:r>
      <w:r>
        <w:rPr/>
        <w:t>6</w:t>
      </w:r>
      <w:r>
        <w:rPr>
          <w:spacing w:val="40"/>
        </w:rPr>
        <w:t> </w:t>
      </w:r>
      <w:r>
        <w:rPr/>
        <w:t>UU</w:t>
      </w:r>
      <w:r>
        <w:rPr>
          <w:spacing w:val="40"/>
        </w:rPr>
        <w:t> </w:t>
      </w:r>
      <w:r>
        <w:rPr/>
        <w:t>Nomor</w:t>
      </w:r>
      <w:r>
        <w:rPr>
          <w:spacing w:val="40"/>
        </w:rPr>
        <w:t> </w:t>
      </w:r>
      <w:r>
        <w:rPr/>
        <w:t>3 Tahun 2022 adalah sebagai berikut:</w:t>
      </w:r>
    </w:p>
    <w:p>
      <w:pPr>
        <w:pStyle w:val="Heading2"/>
        <w:numPr>
          <w:ilvl w:val="0"/>
          <w:numId w:val="31"/>
        </w:numPr>
        <w:tabs>
          <w:tab w:pos="1286" w:val="left" w:leader="none"/>
        </w:tabs>
        <w:spacing w:line="321" w:lineRule="exact" w:before="0" w:after="0"/>
        <w:ind w:left="1286" w:right="0" w:hanging="293"/>
        <w:jc w:val="left"/>
      </w:pPr>
      <w:r>
        <w:rPr/>
        <w:t>Posisi</w:t>
      </w:r>
      <w:r>
        <w:rPr>
          <w:spacing w:val="-7"/>
        </w:rPr>
        <w:t> </w:t>
      </w:r>
      <w:r>
        <w:rPr/>
        <w:t>Secara</w:t>
      </w:r>
      <w:r>
        <w:rPr>
          <w:spacing w:val="-6"/>
        </w:rPr>
        <w:t> </w:t>
      </w:r>
      <w:r>
        <w:rPr>
          <w:spacing w:val="-2"/>
        </w:rPr>
        <w:t>Geografis</w:t>
      </w:r>
    </w:p>
    <w:p>
      <w:pPr>
        <w:pStyle w:val="ListParagraph"/>
        <w:numPr>
          <w:ilvl w:val="1"/>
          <w:numId w:val="31"/>
        </w:numPr>
        <w:tabs>
          <w:tab w:pos="1704" w:val="left" w:leader="none"/>
        </w:tabs>
        <w:spacing w:line="240" w:lineRule="auto" w:before="152" w:after="0"/>
        <w:ind w:left="1704" w:right="0" w:hanging="428"/>
        <w:jc w:val="left"/>
        <w:rPr>
          <w:sz w:val="24"/>
        </w:rPr>
      </w:pPr>
      <w:r>
        <w:rPr>
          <w:sz w:val="24"/>
        </w:rPr>
        <w:t>Bagian</w:t>
      </w:r>
      <w:r>
        <w:rPr>
          <w:spacing w:val="39"/>
          <w:sz w:val="24"/>
        </w:rPr>
        <w:t> </w:t>
      </w:r>
      <w:r>
        <w:rPr>
          <w:sz w:val="24"/>
        </w:rPr>
        <w:t>Utara:</w:t>
      </w:r>
      <w:r>
        <w:rPr>
          <w:spacing w:val="42"/>
          <w:sz w:val="24"/>
        </w:rPr>
        <w:t> </w:t>
      </w:r>
      <w:r>
        <w:rPr>
          <w:sz w:val="24"/>
        </w:rPr>
        <w:t>117°11’</w:t>
      </w:r>
      <w:r>
        <w:rPr>
          <w:spacing w:val="39"/>
          <w:sz w:val="24"/>
        </w:rPr>
        <w:t> </w:t>
      </w:r>
      <w:r>
        <w:rPr>
          <w:sz w:val="24"/>
        </w:rPr>
        <w:t>51.903”</w:t>
      </w:r>
      <w:r>
        <w:rPr>
          <w:spacing w:val="37"/>
          <w:sz w:val="24"/>
        </w:rPr>
        <w:t> </w:t>
      </w:r>
      <w:r>
        <w:rPr>
          <w:sz w:val="24"/>
        </w:rPr>
        <w:t>Bujur</w:t>
      </w:r>
      <w:r>
        <w:rPr>
          <w:spacing w:val="39"/>
          <w:sz w:val="24"/>
        </w:rPr>
        <w:t> </w:t>
      </w:r>
      <w:r>
        <w:rPr>
          <w:sz w:val="24"/>
        </w:rPr>
        <w:t>Timur</w:t>
      </w:r>
      <w:r>
        <w:rPr>
          <w:spacing w:val="39"/>
          <w:sz w:val="24"/>
        </w:rPr>
        <w:t> </w:t>
      </w:r>
      <w:r>
        <w:rPr>
          <w:sz w:val="24"/>
        </w:rPr>
        <w:t>dan</w:t>
      </w:r>
      <w:r>
        <w:rPr>
          <w:spacing w:val="40"/>
          <w:sz w:val="24"/>
        </w:rPr>
        <w:t> </w:t>
      </w:r>
      <w:r>
        <w:rPr>
          <w:sz w:val="24"/>
        </w:rPr>
        <w:t>0°</w:t>
      </w:r>
      <w:r>
        <w:rPr>
          <w:spacing w:val="41"/>
          <w:sz w:val="24"/>
        </w:rPr>
        <w:t> </w:t>
      </w:r>
      <w:r>
        <w:rPr>
          <w:sz w:val="24"/>
        </w:rPr>
        <w:t>38’</w:t>
      </w:r>
      <w:r>
        <w:rPr>
          <w:spacing w:val="39"/>
          <w:sz w:val="24"/>
        </w:rPr>
        <w:t> </w:t>
      </w:r>
      <w:r>
        <w:rPr>
          <w:spacing w:val="-2"/>
          <w:sz w:val="24"/>
        </w:rPr>
        <w:t>44.912”</w:t>
      </w:r>
    </w:p>
    <w:p>
      <w:pPr>
        <w:pStyle w:val="BodyText"/>
        <w:spacing w:before="161"/>
        <w:ind w:left="1704"/>
        <w:jc w:val="left"/>
      </w:pPr>
      <w:r>
        <w:rPr/>
        <w:t>Lintang</w:t>
      </w:r>
      <w:r>
        <w:rPr>
          <w:spacing w:val="-10"/>
        </w:rPr>
        <w:t> </w:t>
      </w:r>
      <w:r>
        <w:rPr>
          <w:spacing w:val="-2"/>
        </w:rPr>
        <w:t>Selatan;</w:t>
      </w:r>
    </w:p>
    <w:p>
      <w:pPr>
        <w:pStyle w:val="ListParagraph"/>
        <w:numPr>
          <w:ilvl w:val="1"/>
          <w:numId w:val="31"/>
        </w:numPr>
        <w:tabs>
          <w:tab w:pos="1630" w:val="left" w:leader="none"/>
        </w:tabs>
        <w:spacing w:line="240" w:lineRule="auto" w:before="161" w:after="0"/>
        <w:ind w:left="1630" w:right="0" w:hanging="354"/>
        <w:jc w:val="left"/>
        <w:rPr>
          <w:sz w:val="24"/>
        </w:rPr>
      </w:pPr>
      <w:r>
        <w:rPr>
          <w:sz w:val="24"/>
        </w:rPr>
        <w:t>Bagian</w:t>
      </w:r>
      <w:r>
        <w:rPr>
          <w:spacing w:val="8"/>
          <w:sz w:val="24"/>
        </w:rPr>
        <w:t> </w:t>
      </w:r>
      <w:r>
        <w:rPr>
          <w:sz w:val="24"/>
        </w:rPr>
        <w:t>Selatan:</w:t>
      </w:r>
      <w:r>
        <w:rPr>
          <w:spacing w:val="10"/>
          <w:sz w:val="24"/>
        </w:rPr>
        <w:t> </w:t>
      </w:r>
      <w:r>
        <w:rPr>
          <w:sz w:val="24"/>
        </w:rPr>
        <w:t>117°</w:t>
      </w:r>
      <w:r>
        <w:rPr>
          <w:spacing w:val="8"/>
          <w:sz w:val="24"/>
        </w:rPr>
        <w:t> </w:t>
      </w:r>
      <w:r>
        <w:rPr>
          <w:sz w:val="24"/>
        </w:rPr>
        <w:t>11’</w:t>
      </w:r>
      <w:r>
        <w:rPr>
          <w:spacing w:val="11"/>
          <w:sz w:val="24"/>
        </w:rPr>
        <w:t> </w:t>
      </w:r>
      <w:r>
        <w:rPr>
          <w:sz w:val="24"/>
        </w:rPr>
        <w:t>51.903”</w:t>
      </w:r>
      <w:r>
        <w:rPr>
          <w:spacing w:val="9"/>
          <w:sz w:val="24"/>
        </w:rPr>
        <w:t> </w:t>
      </w:r>
      <w:r>
        <w:rPr>
          <w:sz w:val="24"/>
        </w:rPr>
        <w:t>Bujur</w:t>
      </w:r>
      <w:r>
        <w:rPr>
          <w:spacing w:val="11"/>
          <w:sz w:val="24"/>
        </w:rPr>
        <w:t> </w:t>
      </w:r>
      <w:r>
        <w:rPr>
          <w:sz w:val="24"/>
        </w:rPr>
        <w:t>Timur</w:t>
      </w:r>
      <w:r>
        <w:rPr>
          <w:spacing w:val="10"/>
          <w:sz w:val="24"/>
        </w:rPr>
        <w:t> </w:t>
      </w:r>
      <w:r>
        <w:rPr>
          <w:sz w:val="24"/>
        </w:rPr>
        <w:t>dan</w:t>
      </w:r>
      <w:r>
        <w:rPr>
          <w:spacing w:val="7"/>
          <w:sz w:val="24"/>
        </w:rPr>
        <w:t> </w:t>
      </w:r>
      <w:r>
        <w:rPr>
          <w:sz w:val="24"/>
        </w:rPr>
        <w:t>1°</w:t>
      </w:r>
      <w:r>
        <w:rPr>
          <w:spacing w:val="13"/>
          <w:sz w:val="24"/>
        </w:rPr>
        <w:t> </w:t>
      </w:r>
      <w:r>
        <w:rPr>
          <w:sz w:val="24"/>
        </w:rPr>
        <w:t>15’</w:t>
      </w:r>
      <w:r>
        <w:rPr>
          <w:spacing w:val="10"/>
          <w:sz w:val="24"/>
        </w:rPr>
        <w:t> </w:t>
      </w:r>
      <w:r>
        <w:rPr>
          <w:spacing w:val="-2"/>
          <w:sz w:val="24"/>
        </w:rPr>
        <w:t>25.260”</w:t>
      </w:r>
    </w:p>
    <w:p>
      <w:pPr>
        <w:pStyle w:val="BodyText"/>
        <w:spacing w:before="156"/>
        <w:ind w:left="1704"/>
        <w:jc w:val="left"/>
      </w:pPr>
      <w:r>
        <w:rPr/>
        <w:t>Lintang</w:t>
      </w:r>
      <w:r>
        <w:rPr>
          <w:spacing w:val="-10"/>
        </w:rPr>
        <w:t> </w:t>
      </w:r>
      <w:r>
        <w:rPr>
          <w:spacing w:val="-2"/>
        </w:rPr>
        <w:t>Selatan;</w:t>
      </w:r>
    </w:p>
    <w:p>
      <w:pPr>
        <w:pStyle w:val="ListParagraph"/>
        <w:numPr>
          <w:ilvl w:val="1"/>
          <w:numId w:val="31"/>
        </w:numPr>
        <w:tabs>
          <w:tab w:pos="1704" w:val="left" w:leader="none"/>
        </w:tabs>
        <w:spacing w:line="240" w:lineRule="auto" w:before="161" w:after="0"/>
        <w:ind w:left="1704" w:right="0" w:hanging="428"/>
        <w:jc w:val="left"/>
        <w:rPr>
          <w:sz w:val="24"/>
        </w:rPr>
      </w:pPr>
      <w:r>
        <w:rPr>
          <w:sz w:val="24"/>
        </w:rPr>
        <w:t>Bagian</w:t>
      </w:r>
      <w:r>
        <w:rPr>
          <w:spacing w:val="29"/>
          <w:sz w:val="24"/>
        </w:rPr>
        <w:t> </w:t>
      </w:r>
      <w:r>
        <w:rPr>
          <w:sz w:val="24"/>
        </w:rPr>
        <w:t>Barat:</w:t>
      </w:r>
      <w:r>
        <w:rPr>
          <w:spacing w:val="33"/>
          <w:sz w:val="24"/>
        </w:rPr>
        <w:t> </w:t>
      </w:r>
      <w:r>
        <w:rPr>
          <w:sz w:val="24"/>
        </w:rPr>
        <w:t>116°</w:t>
      </w:r>
      <w:r>
        <w:rPr>
          <w:spacing w:val="32"/>
          <w:sz w:val="24"/>
        </w:rPr>
        <w:t> </w:t>
      </w:r>
      <w:r>
        <w:rPr>
          <w:sz w:val="24"/>
        </w:rPr>
        <w:t>31’</w:t>
      </w:r>
      <w:r>
        <w:rPr>
          <w:spacing w:val="30"/>
          <w:sz w:val="24"/>
        </w:rPr>
        <w:t> </w:t>
      </w:r>
      <w:r>
        <w:rPr>
          <w:sz w:val="24"/>
        </w:rPr>
        <w:t>37.728”</w:t>
      </w:r>
      <w:r>
        <w:rPr>
          <w:spacing w:val="33"/>
          <w:sz w:val="24"/>
        </w:rPr>
        <w:t> </w:t>
      </w:r>
      <w:r>
        <w:rPr>
          <w:sz w:val="24"/>
        </w:rPr>
        <w:t>Bujur</w:t>
      </w:r>
      <w:r>
        <w:rPr>
          <w:spacing w:val="31"/>
          <w:sz w:val="24"/>
        </w:rPr>
        <w:t> </w:t>
      </w:r>
      <w:r>
        <w:rPr>
          <w:sz w:val="24"/>
        </w:rPr>
        <w:t>Timur</w:t>
      </w:r>
      <w:r>
        <w:rPr>
          <w:spacing w:val="31"/>
          <w:sz w:val="24"/>
        </w:rPr>
        <w:t> </w:t>
      </w:r>
      <w:r>
        <w:rPr>
          <w:sz w:val="24"/>
        </w:rPr>
        <w:t>dan</w:t>
      </w:r>
      <w:r>
        <w:rPr>
          <w:spacing w:val="32"/>
          <w:sz w:val="24"/>
        </w:rPr>
        <w:t> </w:t>
      </w:r>
      <w:r>
        <w:rPr>
          <w:sz w:val="24"/>
        </w:rPr>
        <w:t>0°</w:t>
      </w:r>
      <w:r>
        <w:rPr>
          <w:spacing w:val="32"/>
          <w:sz w:val="24"/>
        </w:rPr>
        <w:t> </w:t>
      </w:r>
      <w:r>
        <w:rPr>
          <w:sz w:val="24"/>
        </w:rPr>
        <w:t>59’</w:t>
      </w:r>
      <w:r>
        <w:rPr>
          <w:spacing w:val="31"/>
          <w:sz w:val="24"/>
        </w:rPr>
        <w:t> </w:t>
      </w:r>
      <w:r>
        <w:rPr>
          <w:spacing w:val="-2"/>
          <w:sz w:val="24"/>
        </w:rPr>
        <w:t>22.510”</w:t>
      </w:r>
    </w:p>
    <w:p>
      <w:pPr>
        <w:pStyle w:val="BodyText"/>
        <w:spacing w:before="161"/>
        <w:ind w:left="1704"/>
        <w:jc w:val="left"/>
      </w:pPr>
      <w:r>
        <w:rPr/>
        <w:t>Lintang</w:t>
      </w:r>
      <w:r>
        <w:rPr>
          <w:spacing w:val="-10"/>
        </w:rPr>
        <w:t> </w:t>
      </w:r>
      <w:r>
        <w:rPr/>
        <w:t>Selatan;</w:t>
      </w:r>
      <w:r>
        <w:rPr>
          <w:spacing w:val="-1"/>
        </w:rPr>
        <w:t> </w:t>
      </w:r>
      <w:r>
        <w:rPr>
          <w:spacing w:val="-5"/>
        </w:rPr>
        <w:t>dan</w:t>
      </w:r>
    </w:p>
    <w:p>
      <w:pPr>
        <w:pStyle w:val="ListParagraph"/>
        <w:numPr>
          <w:ilvl w:val="1"/>
          <w:numId w:val="31"/>
        </w:numPr>
        <w:tabs>
          <w:tab w:pos="1629" w:val="left" w:leader="none"/>
        </w:tabs>
        <w:spacing w:line="240" w:lineRule="auto" w:before="161" w:after="0"/>
        <w:ind w:left="1629" w:right="0" w:hanging="353"/>
        <w:jc w:val="left"/>
        <w:rPr>
          <w:sz w:val="24"/>
        </w:rPr>
      </w:pPr>
      <w:r>
        <w:rPr>
          <w:sz w:val="24"/>
        </w:rPr>
        <w:t>Bagian</w:t>
      </w:r>
      <w:r>
        <w:rPr>
          <w:spacing w:val="39"/>
          <w:sz w:val="24"/>
        </w:rPr>
        <w:t> </w:t>
      </w:r>
      <w:r>
        <w:rPr>
          <w:sz w:val="24"/>
        </w:rPr>
        <w:t>Timur:</w:t>
      </w:r>
      <w:r>
        <w:rPr>
          <w:spacing w:val="42"/>
          <w:sz w:val="24"/>
        </w:rPr>
        <w:t> </w:t>
      </w:r>
      <w:r>
        <w:rPr>
          <w:sz w:val="24"/>
        </w:rPr>
        <w:t>117°</w:t>
      </w:r>
      <w:r>
        <w:rPr>
          <w:spacing w:val="42"/>
          <w:sz w:val="24"/>
        </w:rPr>
        <w:t> </w:t>
      </w:r>
      <w:r>
        <w:rPr>
          <w:sz w:val="24"/>
        </w:rPr>
        <w:t>18’</w:t>
      </w:r>
      <w:r>
        <w:rPr>
          <w:spacing w:val="34"/>
          <w:sz w:val="24"/>
        </w:rPr>
        <w:t> </w:t>
      </w:r>
      <w:r>
        <w:rPr>
          <w:sz w:val="24"/>
        </w:rPr>
        <w:t>28.084”</w:t>
      </w:r>
      <w:r>
        <w:rPr>
          <w:spacing w:val="38"/>
          <w:sz w:val="24"/>
        </w:rPr>
        <w:t> </w:t>
      </w:r>
      <w:r>
        <w:rPr>
          <w:sz w:val="24"/>
        </w:rPr>
        <w:t>Bujur</w:t>
      </w:r>
      <w:r>
        <w:rPr>
          <w:spacing w:val="39"/>
          <w:sz w:val="24"/>
        </w:rPr>
        <w:t> </w:t>
      </w:r>
      <w:r>
        <w:rPr>
          <w:sz w:val="24"/>
        </w:rPr>
        <w:t>Timur</w:t>
      </w:r>
      <w:r>
        <w:rPr>
          <w:spacing w:val="39"/>
          <w:sz w:val="24"/>
        </w:rPr>
        <w:t> </w:t>
      </w:r>
      <w:r>
        <w:rPr>
          <w:sz w:val="24"/>
        </w:rPr>
        <w:t>dan</w:t>
      </w:r>
      <w:r>
        <w:rPr>
          <w:spacing w:val="40"/>
          <w:sz w:val="24"/>
        </w:rPr>
        <w:t> </w:t>
      </w:r>
      <w:r>
        <w:rPr>
          <w:sz w:val="24"/>
        </w:rPr>
        <w:t>1°</w:t>
      </w:r>
      <w:r>
        <w:rPr>
          <w:spacing w:val="41"/>
          <w:sz w:val="24"/>
        </w:rPr>
        <w:t> </w:t>
      </w:r>
      <w:r>
        <w:rPr>
          <w:sz w:val="24"/>
        </w:rPr>
        <w:t>6’</w:t>
      </w:r>
      <w:r>
        <w:rPr>
          <w:spacing w:val="39"/>
          <w:sz w:val="24"/>
        </w:rPr>
        <w:t> </w:t>
      </w:r>
      <w:r>
        <w:rPr>
          <w:spacing w:val="-2"/>
          <w:sz w:val="24"/>
        </w:rPr>
        <w:t>42.398”</w:t>
      </w:r>
    </w:p>
    <w:p>
      <w:pPr>
        <w:pStyle w:val="BodyText"/>
        <w:spacing w:before="155"/>
        <w:ind w:left="1704"/>
        <w:jc w:val="left"/>
      </w:pPr>
      <w:r>
        <w:rPr/>
        <w:t>Lintang</w:t>
      </w:r>
      <w:r>
        <w:rPr>
          <w:spacing w:val="-10"/>
        </w:rPr>
        <w:t> </w:t>
      </w:r>
      <w:r>
        <w:rPr>
          <w:spacing w:val="-2"/>
        </w:rPr>
        <w:t>Selatan</w:t>
      </w:r>
    </w:p>
    <w:p>
      <w:pPr>
        <w:pStyle w:val="BodyText"/>
        <w:spacing w:before="164"/>
        <w:jc w:val="left"/>
      </w:pPr>
    </w:p>
    <w:p>
      <w:pPr>
        <w:pStyle w:val="Heading2"/>
        <w:numPr>
          <w:ilvl w:val="0"/>
          <w:numId w:val="31"/>
        </w:numPr>
        <w:tabs>
          <w:tab w:pos="1285" w:val="left" w:leader="none"/>
        </w:tabs>
        <w:spacing w:line="240" w:lineRule="auto" w:before="0" w:after="0"/>
        <w:ind w:left="1285" w:right="0" w:hanging="292"/>
        <w:jc w:val="both"/>
      </w:pPr>
      <w:r>
        <w:rPr/>
        <w:t>Batas</w:t>
      </w:r>
      <w:r>
        <w:rPr>
          <w:spacing w:val="-3"/>
        </w:rPr>
        <w:t> </w:t>
      </w:r>
      <w:r>
        <w:rPr>
          <w:spacing w:val="-2"/>
        </w:rPr>
        <w:t>Wilayah</w:t>
      </w:r>
    </w:p>
    <w:p>
      <w:pPr>
        <w:pStyle w:val="ListParagraph"/>
        <w:numPr>
          <w:ilvl w:val="1"/>
          <w:numId w:val="31"/>
        </w:numPr>
        <w:tabs>
          <w:tab w:pos="1702" w:val="left" w:leader="none"/>
          <w:tab w:pos="1704" w:val="left" w:leader="none"/>
        </w:tabs>
        <w:spacing w:line="357" w:lineRule="auto" w:before="157" w:after="0"/>
        <w:ind w:left="1704" w:right="699" w:hanging="428"/>
        <w:jc w:val="both"/>
        <w:rPr>
          <w:sz w:val="24"/>
        </w:rPr>
      </w:pPr>
      <w:r>
        <w:rPr>
          <w:sz w:val="24"/>
        </w:rPr>
        <w:t>Sebelah Selatan: Kecamatan Penajam Kabupaten Penajam Paser Utara,</w:t>
      </w:r>
      <w:r>
        <w:rPr>
          <w:spacing w:val="-17"/>
          <w:sz w:val="24"/>
        </w:rPr>
        <w:t> </w:t>
      </w:r>
      <w:r>
        <w:rPr>
          <w:sz w:val="24"/>
        </w:rPr>
        <w:t>Teluk</w:t>
      </w:r>
      <w:r>
        <w:rPr>
          <w:spacing w:val="-16"/>
          <w:sz w:val="24"/>
        </w:rPr>
        <w:t> </w:t>
      </w:r>
      <w:r>
        <w:rPr>
          <w:sz w:val="24"/>
        </w:rPr>
        <w:t>Balikpapan,</w:t>
      </w:r>
      <w:r>
        <w:rPr>
          <w:spacing w:val="-17"/>
          <w:sz w:val="24"/>
        </w:rPr>
        <w:t> </w:t>
      </w:r>
      <w:r>
        <w:rPr>
          <w:sz w:val="24"/>
        </w:rPr>
        <w:t>Kecamatan</w:t>
      </w:r>
      <w:r>
        <w:rPr>
          <w:spacing w:val="-16"/>
          <w:sz w:val="24"/>
        </w:rPr>
        <w:t> </w:t>
      </w:r>
      <w:r>
        <w:rPr>
          <w:sz w:val="24"/>
        </w:rPr>
        <w:t>Balikpapan</w:t>
      </w:r>
      <w:r>
        <w:rPr>
          <w:spacing w:val="-17"/>
          <w:sz w:val="24"/>
        </w:rPr>
        <w:t> </w:t>
      </w:r>
      <w:r>
        <w:rPr>
          <w:sz w:val="24"/>
        </w:rPr>
        <w:t>Barat,</w:t>
      </w:r>
      <w:r>
        <w:rPr>
          <w:spacing w:val="-16"/>
          <w:sz w:val="24"/>
        </w:rPr>
        <w:t> </w:t>
      </w:r>
      <w:r>
        <w:rPr>
          <w:sz w:val="24"/>
        </w:rPr>
        <w:t>Kecamatan Balikpapan Utara, dan Kecamatan Balikpapan Timur Kota </w:t>
      </w:r>
      <w:r>
        <w:rPr>
          <w:spacing w:val="-2"/>
          <w:sz w:val="24"/>
        </w:rPr>
        <w:t>Balikpapan;</w:t>
      </w:r>
    </w:p>
    <w:p>
      <w:pPr>
        <w:pStyle w:val="ListParagraph"/>
        <w:numPr>
          <w:ilvl w:val="1"/>
          <w:numId w:val="31"/>
        </w:numPr>
        <w:tabs>
          <w:tab w:pos="1704" w:val="left" w:leader="none"/>
        </w:tabs>
        <w:spacing w:line="362" w:lineRule="auto" w:before="8" w:after="0"/>
        <w:ind w:left="1704" w:right="705" w:hanging="428"/>
        <w:jc w:val="both"/>
        <w:rPr>
          <w:sz w:val="24"/>
        </w:rPr>
      </w:pPr>
      <w:r>
        <w:rPr>
          <w:sz w:val="24"/>
        </w:rPr>
        <w:t>Sebelah</w:t>
      </w:r>
      <w:r>
        <w:rPr>
          <w:spacing w:val="-16"/>
          <w:sz w:val="24"/>
        </w:rPr>
        <w:t> </w:t>
      </w:r>
      <w:r>
        <w:rPr>
          <w:sz w:val="24"/>
        </w:rPr>
        <w:t>Barat:</w:t>
      </w:r>
      <w:r>
        <w:rPr>
          <w:spacing w:val="-13"/>
          <w:sz w:val="24"/>
        </w:rPr>
        <w:t> </w:t>
      </w:r>
      <w:r>
        <w:rPr>
          <w:sz w:val="24"/>
        </w:rPr>
        <w:t>Kecamatan</w:t>
      </w:r>
      <w:r>
        <w:rPr>
          <w:spacing w:val="-11"/>
          <w:sz w:val="24"/>
        </w:rPr>
        <w:t> </w:t>
      </w:r>
      <w:r>
        <w:rPr>
          <w:sz w:val="24"/>
        </w:rPr>
        <w:t>Loa</w:t>
      </w:r>
      <w:r>
        <w:rPr>
          <w:spacing w:val="-17"/>
          <w:sz w:val="24"/>
        </w:rPr>
        <w:t> </w:t>
      </w:r>
      <w:r>
        <w:rPr>
          <w:sz w:val="24"/>
        </w:rPr>
        <w:t>Kulu</w:t>
      </w:r>
      <w:r>
        <w:rPr>
          <w:spacing w:val="-14"/>
          <w:sz w:val="24"/>
        </w:rPr>
        <w:t> </w:t>
      </w:r>
      <w:r>
        <w:rPr>
          <w:sz w:val="24"/>
        </w:rPr>
        <w:t>Kabupaten</w:t>
      </w:r>
      <w:r>
        <w:rPr>
          <w:spacing w:val="-11"/>
          <w:sz w:val="24"/>
        </w:rPr>
        <w:t> </w:t>
      </w:r>
      <w:r>
        <w:rPr>
          <w:sz w:val="24"/>
        </w:rPr>
        <w:t>Kutai</w:t>
      </w:r>
      <w:r>
        <w:rPr>
          <w:spacing w:val="-15"/>
          <w:sz w:val="24"/>
        </w:rPr>
        <w:t> </w:t>
      </w:r>
      <w:r>
        <w:rPr>
          <w:sz w:val="24"/>
        </w:rPr>
        <w:t>Kartanegara dan Kecamatan Sepaku Kabupaten Penajam Paser Utara;</w:t>
      </w:r>
    </w:p>
    <w:p>
      <w:pPr>
        <w:pStyle w:val="ListParagraph"/>
        <w:numPr>
          <w:ilvl w:val="1"/>
          <w:numId w:val="31"/>
        </w:numPr>
        <w:tabs>
          <w:tab w:pos="1702" w:val="left" w:leader="none"/>
          <w:tab w:pos="1704" w:val="left" w:leader="none"/>
        </w:tabs>
        <w:spacing w:line="357" w:lineRule="auto" w:before="0" w:after="0"/>
        <w:ind w:left="1704" w:right="711" w:hanging="428"/>
        <w:jc w:val="both"/>
        <w:rPr>
          <w:sz w:val="24"/>
        </w:rPr>
      </w:pPr>
      <w:r>
        <w:rPr>
          <w:sz w:val="24"/>
        </w:rPr>
        <w:t>Sebelah Utara: Kecamatan Loa Kulu, Kecamatan Loa Janan, dan Kecamatan Sanga-Sanga Kabupaten Kutai Kartanegara; dan</w:t>
      </w:r>
    </w:p>
    <w:p>
      <w:pPr>
        <w:pStyle w:val="ListParagraph"/>
        <w:numPr>
          <w:ilvl w:val="1"/>
          <w:numId w:val="31"/>
        </w:numPr>
        <w:tabs>
          <w:tab w:pos="1702" w:val="left" w:leader="none"/>
        </w:tabs>
        <w:spacing w:line="240" w:lineRule="auto" w:before="0" w:after="0"/>
        <w:ind w:left="1702" w:right="0" w:hanging="426"/>
        <w:jc w:val="both"/>
        <w:rPr>
          <w:sz w:val="24"/>
        </w:rPr>
      </w:pPr>
      <w:r>
        <w:rPr>
          <w:sz w:val="24"/>
        </w:rPr>
        <w:t>Sebelah</w:t>
      </w:r>
      <w:r>
        <w:rPr>
          <w:spacing w:val="-10"/>
          <w:sz w:val="24"/>
        </w:rPr>
        <w:t> </w:t>
      </w:r>
      <w:r>
        <w:rPr>
          <w:sz w:val="24"/>
        </w:rPr>
        <w:t>Timur:</w:t>
      </w:r>
      <w:r>
        <w:rPr>
          <w:spacing w:val="-7"/>
          <w:sz w:val="24"/>
        </w:rPr>
        <w:t> </w:t>
      </w:r>
      <w:r>
        <w:rPr>
          <w:sz w:val="24"/>
        </w:rPr>
        <w:t>Selatan</w:t>
      </w:r>
      <w:r>
        <w:rPr>
          <w:spacing w:val="-9"/>
          <w:sz w:val="24"/>
        </w:rPr>
        <w:t> </w:t>
      </w:r>
      <w:r>
        <w:rPr>
          <w:spacing w:val="-2"/>
          <w:sz w:val="24"/>
        </w:rPr>
        <w:t>Makassar.</w:t>
      </w:r>
    </w:p>
    <w:p>
      <w:pPr>
        <w:pStyle w:val="Heading2"/>
        <w:numPr>
          <w:ilvl w:val="0"/>
          <w:numId w:val="31"/>
        </w:numPr>
        <w:tabs>
          <w:tab w:pos="1285" w:val="left" w:leader="none"/>
        </w:tabs>
        <w:spacing w:line="240" w:lineRule="auto" w:before="157" w:after="0"/>
        <w:ind w:left="1285" w:right="0" w:hanging="292"/>
        <w:jc w:val="both"/>
      </w:pPr>
      <w:r>
        <w:rPr/>
        <w:t>Luas</w:t>
      </w:r>
      <w:r>
        <w:rPr>
          <w:spacing w:val="-4"/>
        </w:rPr>
        <w:t> </w:t>
      </w:r>
      <w:r>
        <w:rPr>
          <w:spacing w:val="-2"/>
        </w:rPr>
        <w:t>Wilayah</w:t>
      </w:r>
    </w:p>
    <w:p>
      <w:pPr>
        <w:pStyle w:val="BodyText"/>
        <w:spacing w:before="152"/>
        <w:ind w:left="1286"/>
      </w:pPr>
      <w:r>
        <w:rPr/>
        <w:t>Luas</w:t>
      </w:r>
      <w:r>
        <w:rPr>
          <w:spacing w:val="-9"/>
        </w:rPr>
        <w:t> </w:t>
      </w:r>
      <w:r>
        <w:rPr/>
        <w:t>wilayah</w:t>
      </w:r>
      <w:r>
        <w:rPr>
          <w:spacing w:val="-9"/>
        </w:rPr>
        <w:t> </w:t>
      </w:r>
      <w:r>
        <w:rPr/>
        <w:t>IKN</w:t>
      </w:r>
      <w:r>
        <w:rPr>
          <w:spacing w:val="-8"/>
        </w:rPr>
        <w:t> </w:t>
      </w:r>
      <w:r>
        <w:rPr>
          <w:spacing w:val="-2"/>
        </w:rPr>
        <w:t>meliputi:</w:t>
      </w:r>
    </w:p>
    <w:p>
      <w:pPr>
        <w:pStyle w:val="ListParagraph"/>
        <w:numPr>
          <w:ilvl w:val="1"/>
          <w:numId w:val="31"/>
        </w:numPr>
        <w:tabs>
          <w:tab w:pos="1558" w:val="left" w:leader="none"/>
        </w:tabs>
        <w:spacing w:line="240" w:lineRule="auto" w:before="160" w:after="0"/>
        <w:ind w:left="1558" w:right="0" w:hanging="282"/>
        <w:jc w:val="both"/>
        <w:rPr>
          <w:sz w:val="24"/>
        </w:rPr>
      </w:pPr>
      <w:r>
        <w:rPr>
          <w:sz w:val="24"/>
        </w:rPr>
        <w:t>Luas</w:t>
      </w:r>
      <w:r>
        <w:rPr>
          <w:spacing w:val="-6"/>
          <w:sz w:val="24"/>
        </w:rPr>
        <w:t> </w:t>
      </w:r>
      <w:r>
        <w:rPr>
          <w:sz w:val="24"/>
        </w:rPr>
        <w:t>wilayah</w:t>
      </w:r>
      <w:r>
        <w:rPr>
          <w:spacing w:val="-5"/>
          <w:sz w:val="24"/>
        </w:rPr>
        <w:t> </w:t>
      </w:r>
      <w:r>
        <w:rPr>
          <w:sz w:val="24"/>
        </w:rPr>
        <w:t>daratan:</w:t>
      </w:r>
      <w:r>
        <w:rPr>
          <w:spacing w:val="-4"/>
          <w:sz w:val="24"/>
        </w:rPr>
        <w:t> </w:t>
      </w:r>
      <w:r>
        <w:rPr>
          <w:sz w:val="24"/>
        </w:rPr>
        <w:t>±</w:t>
      </w:r>
      <w:r>
        <w:rPr>
          <w:spacing w:val="-6"/>
          <w:sz w:val="24"/>
        </w:rPr>
        <w:t> </w:t>
      </w:r>
      <w:r>
        <w:rPr>
          <w:sz w:val="24"/>
        </w:rPr>
        <w:t>256.142</w:t>
      </w:r>
      <w:r>
        <w:rPr>
          <w:spacing w:val="-3"/>
          <w:sz w:val="24"/>
        </w:rPr>
        <w:t> </w:t>
      </w:r>
      <w:r>
        <w:rPr>
          <w:sz w:val="24"/>
        </w:rPr>
        <w:t>ha,</w:t>
      </w:r>
      <w:r>
        <w:rPr>
          <w:spacing w:val="-5"/>
          <w:sz w:val="24"/>
        </w:rPr>
        <w:t> </w:t>
      </w:r>
      <w:r>
        <w:rPr>
          <w:sz w:val="24"/>
        </w:rPr>
        <w:t>terbagi</w:t>
      </w:r>
      <w:r>
        <w:rPr>
          <w:spacing w:val="-4"/>
          <w:sz w:val="24"/>
        </w:rPr>
        <w:t> atas</w:t>
      </w:r>
    </w:p>
    <w:p>
      <w:pPr>
        <w:pStyle w:val="ListParagraph"/>
        <w:numPr>
          <w:ilvl w:val="2"/>
          <w:numId w:val="31"/>
        </w:numPr>
        <w:tabs>
          <w:tab w:pos="1843" w:val="left" w:leader="none"/>
        </w:tabs>
        <w:spacing w:line="240" w:lineRule="auto" w:before="161" w:after="0"/>
        <w:ind w:left="1843" w:right="0" w:hanging="278"/>
        <w:jc w:val="left"/>
        <w:rPr>
          <w:sz w:val="24"/>
        </w:rPr>
      </w:pPr>
      <w:r>
        <w:rPr>
          <w:sz w:val="24"/>
        </w:rPr>
        <w:t>Kawasan</w:t>
      </w:r>
      <w:r>
        <w:rPr>
          <w:spacing w:val="-8"/>
          <w:sz w:val="24"/>
        </w:rPr>
        <w:t> </w:t>
      </w:r>
      <w:r>
        <w:rPr>
          <w:sz w:val="24"/>
        </w:rPr>
        <w:t>IKN</w:t>
      </w:r>
      <w:r>
        <w:rPr>
          <w:spacing w:val="-4"/>
          <w:sz w:val="24"/>
        </w:rPr>
        <w:t> </w:t>
      </w:r>
      <w:r>
        <w:rPr>
          <w:sz w:val="24"/>
        </w:rPr>
        <w:t>seluas</w:t>
      </w:r>
      <w:r>
        <w:rPr>
          <w:spacing w:val="-4"/>
          <w:sz w:val="24"/>
        </w:rPr>
        <w:t> </w:t>
      </w:r>
      <w:r>
        <w:rPr>
          <w:sz w:val="24"/>
        </w:rPr>
        <w:t>56.180</w:t>
      </w:r>
      <w:r>
        <w:rPr>
          <w:spacing w:val="-1"/>
          <w:sz w:val="24"/>
        </w:rPr>
        <w:t> </w:t>
      </w:r>
      <w:r>
        <w:rPr>
          <w:spacing w:val="-5"/>
          <w:sz w:val="24"/>
        </w:rPr>
        <w:t>ha</w:t>
      </w:r>
    </w:p>
    <w:p>
      <w:pPr>
        <w:pStyle w:val="ListParagraph"/>
        <w:spacing w:after="0" w:line="240" w:lineRule="auto"/>
        <w:jc w:val="left"/>
        <w:rPr>
          <w:sz w:val="24"/>
        </w:rPr>
        <w:sectPr>
          <w:pgSz w:w="11910" w:h="16840"/>
          <w:pgMar w:header="0" w:footer="1186" w:top="1580" w:bottom="1380" w:left="1700" w:right="992"/>
        </w:sectPr>
      </w:pPr>
    </w:p>
    <w:p>
      <w:pPr>
        <w:pStyle w:val="ListParagraph"/>
        <w:numPr>
          <w:ilvl w:val="2"/>
          <w:numId w:val="31"/>
        </w:numPr>
        <w:tabs>
          <w:tab w:pos="1843" w:val="left" w:leader="none"/>
        </w:tabs>
        <w:spacing w:line="240" w:lineRule="auto" w:before="82" w:after="0"/>
        <w:ind w:left="1843" w:right="0" w:hanging="278"/>
        <w:jc w:val="left"/>
        <w:rPr>
          <w:sz w:val="24"/>
        </w:rPr>
      </w:pPr>
      <w:r>
        <w:rPr>
          <w:sz w:val="24"/>
        </w:rPr>
        <w:t>Kawasan</w:t>
      </w:r>
      <w:r>
        <w:rPr>
          <w:spacing w:val="-12"/>
          <w:sz w:val="24"/>
        </w:rPr>
        <w:t> </w:t>
      </w:r>
      <w:r>
        <w:rPr>
          <w:sz w:val="24"/>
        </w:rPr>
        <w:t>pengembangan</w:t>
      </w:r>
      <w:r>
        <w:rPr>
          <w:spacing w:val="-4"/>
          <w:sz w:val="24"/>
        </w:rPr>
        <w:t> </w:t>
      </w:r>
      <w:r>
        <w:rPr>
          <w:sz w:val="24"/>
        </w:rPr>
        <w:t>IKN</w:t>
      </w:r>
      <w:r>
        <w:rPr>
          <w:spacing w:val="-11"/>
          <w:sz w:val="24"/>
        </w:rPr>
        <w:t> </w:t>
      </w:r>
      <w:r>
        <w:rPr>
          <w:sz w:val="24"/>
        </w:rPr>
        <w:t>seluas</w:t>
      </w:r>
      <w:r>
        <w:rPr>
          <w:spacing w:val="-9"/>
          <w:sz w:val="24"/>
        </w:rPr>
        <w:t> </w:t>
      </w:r>
      <w:r>
        <w:rPr>
          <w:sz w:val="24"/>
        </w:rPr>
        <w:t>199.962</w:t>
      </w:r>
      <w:r>
        <w:rPr>
          <w:spacing w:val="-7"/>
          <w:sz w:val="24"/>
        </w:rPr>
        <w:t> </w:t>
      </w:r>
      <w:r>
        <w:rPr>
          <w:spacing w:val="-5"/>
          <w:sz w:val="24"/>
        </w:rPr>
        <w:t>ha</w:t>
      </w:r>
    </w:p>
    <w:p>
      <w:pPr>
        <w:pStyle w:val="ListParagraph"/>
        <w:numPr>
          <w:ilvl w:val="1"/>
          <w:numId w:val="31"/>
        </w:numPr>
        <w:tabs>
          <w:tab w:pos="1558" w:val="left" w:leader="none"/>
        </w:tabs>
        <w:spacing w:line="240" w:lineRule="auto" w:before="134" w:after="0"/>
        <w:ind w:left="1558" w:right="0" w:hanging="282"/>
        <w:jc w:val="left"/>
        <w:rPr>
          <w:sz w:val="24"/>
        </w:rPr>
      </w:pPr>
      <w:r>
        <w:rPr>
          <w:sz w:val="24"/>
        </w:rPr>
        <w:t>Luas</w:t>
      </w:r>
      <w:r>
        <w:rPr>
          <w:spacing w:val="-5"/>
          <w:sz w:val="24"/>
        </w:rPr>
        <w:t> </w:t>
      </w:r>
      <w:r>
        <w:rPr>
          <w:sz w:val="24"/>
        </w:rPr>
        <w:t>wilayah</w:t>
      </w:r>
      <w:r>
        <w:rPr>
          <w:spacing w:val="-4"/>
          <w:sz w:val="24"/>
        </w:rPr>
        <w:t> </w:t>
      </w:r>
      <w:r>
        <w:rPr>
          <w:sz w:val="24"/>
        </w:rPr>
        <w:t>perairan:</w:t>
      </w:r>
      <w:r>
        <w:rPr>
          <w:spacing w:val="-7"/>
          <w:sz w:val="24"/>
        </w:rPr>
        <w:t> </w:t>
      </w:r>
      <w:r>
        <w:rPr>
          <w:sz w:val="24"/>
        </w:rPr>
        <w:t>±</w:t>
      </w:r>
      <w:r>
        <w:rPr>
          <w:spacing w:val="-4"/>
          <w:sz w:val="24"/>
        </w:rPr>
        <w:t> </w:t>
      </w:r>
      <w:r>
        <w:rPr>
          <w:sz w:val="24"/>
        </w:rPr>
        <w:t>68.189</w:t>
      </w:r>
      <w:r>
        <w:rPr>
          <w:spacing w:val="-2"/>
          <w:sz w:val="24"/>
        </w:rPr>
        <w:t> </w:t>
      </w:r>
      <w:r>
        <w:rPr>
          <w:spacing w:val="-5"/>
          <w:sz w:val="24"/>
        </w:rPr>
        <w:t>ha.</w:t>
      </w:r>
    </w:p>
    <w:p>
      <w:pPr>
        <w:pStyle w:val="BodyText"/>
        <w:spacing w:line="364" w:lineRule="auto" w:before="162"/>
        <w:ind w:left="993" w:right="720" w:firstLine="710"/>
        <w:jc w:val="left"/>
      </w:pPr>
      <w:r>
        <w:rPr/>
        <w:t>Cakupan</w:t>
      </w:r>
      <w:r>
        <w:rPr>
          <w:spacing w:val="-9"/>
        </w:rPr>
        <w:t> </w:t>
      </w:r>
      <w:r>
        <w:rPr/>
        <w:t>wilayah</w:t>
      </w:r>
      <w:r>
        <w:rPr>
          <w:spacing w:val="-9"/>
        </w:rPr>
        <w:t> </w:t>
      </w:r>
      <w:r>
        <w:rPr/>
        <w:t>IKN</w:t>
      </w:r>
      <w:r>
        <w:rPr>
          <w:spacing w:val="-9"/>
        </w:rPr>
        <w:t> </w:t>
      </w:r>
      <w:r>
        <w:rPr/>
        <w:t>menurut</w:t>
      </w:r>
      <w:r>
        <w:rPr>
          <w:spacing w:val="-8"/>
        </w:rPr>
        <w:t> </w:t>
      </w:r>
      <w:r>
        <w:rPr/>
        <w:t>Pasal</w:t>
      </w:r>
      <w:r>
        <w:rPr>
          <w:spacing w:val="-8"/>
        </w:rPr>
        <w:t> </w:t>
      </w:r>
      <w:r>
        <w:rPr/>
        <w:t>6</w:t>
      </w:r>
      <w:r>
        <w:rPr>
          <w:spacing w:val="-8"/>
        </w:rPr>
        <w:t> </w:t>
      </w:r>
      <w:r>
        <w:rPr/>
        <w:t>UU</w:t>
      </w:r>
      <w:r>
        <w:rPr>
          <w:spacing w:val="-10"/>
        </w:rPr>
        <w:t> </w:t>
      </w:r>
      <w:r>
        <w:rPr/>
        <w:t>Nomor</w:t>
      </w:r>
      <w:r>
        <w:rPr>
          <w:spacing w:val="-9"/>
        </w:rPr>
        <w:t> </w:t>
      </w:r>
      <w:r>
        <w:rPr/>
        <w:t>21</w:t>
      </w:r>
      <w:r>
        <w:rPr>
          <w:spacing w:val="-8"/>
        </w:rPr>
        <w:t> </w:t>
      </w:r>
      <w:r>
        <w:rPr/>
        <w:t>Tahun</w:t>
      </w:r>
      <w:r>
        <w:rPr>
          <w:spacing w:val="-9"/>
        </w:rPr>
        <w:t> </w:t>
      </w:r>
      <w:r>
        <w:rPr/>
        <w:t>2023 adalah sebagai berikut:</w:t>
      </w:r>
    </w:p>
    <w:p>
      <w:pPr>
        <w:pStyle w:val="Heading2"/>
        <w:numPr>
          <w:ilvl w:val="0"/>
          <w:numId w:val="31"/>
        </w:numPr>
        <w:tabs>
          <w:tab w:pos="1286" w:val="left" w:leader="none"/>
        </w:tabs>
        <w:spacing w:line="313" w:lineRule="exact" w:before="0" w:after="0"/>
        <w:ind w:left="1286" w:right="0" w:hanging="293"/>
        <w:jc w:val="left"/>
      </w:pPr>
      <w:r>
        <w:rPr/>
        <w:t>Posisi</w:t>
      </w:r>
      <w:r>
        <w:rPr>
          <w:spacing w:val="-7"/>
        </w:rPr>
        <w:t> </w:t>
      </w:r>
      <w:r>
        <w:rPr/>
        <w:t>Secara</w:t>
      </w:r>
      <w:r>
        <w:rPr>
          <w:spacing w:val="-6"/>
        </w:rPr>
        <w:t> </w:t>
      </w:r>
      <w:r>
        <w:rPr>
          <w:spacing w:val="-2"/>
        </w:rPr>
        <w:t>Geografis</w:t>
      </w:r>
    </w:p>
    <w:p>
      <w:pPr>
        <w:pStyle w:val="ListParagraph"/>
        <w:numPr>
          <w:ilvl w:val="1"/>
          <w:numId w:val="31"/>
        </w:numPr>
        <w:tabs>
          <w:tab w:pos="1704" w:val="left" w:leader="none"/>
        </w:tabs>
        <w:spacing w:line="240" w:lineRule="auto" w:before="152" w:after="0"/>
        <w:ind w:left="1704" w:right="0" w:hanging="428"/>
        <w:jc w:val="left"/>
        <w:rPr>
          <w:sz w:val="24"/>
        </w:rPr>
      </w:pPr>
      <w:r>
        <w:rPr>
          <w:sz w:val="24"/>
        </w:rPr>
        <w:t>Bagian</w:t>
      </w:r>
      <w:r>
        <w:rPr>
          <w:spacing w:val="40"/>
          <w:sz w:val="24"/>
        </w:rPr>
        <w:t> </w:t>
      </w:r>
      <w:r>
        <w:rPr>
          <w:sz w:val="24"/>
        </w:rPr>
        <w:t>Utara:</w:t>
      </w:r>
      <w:r>
        <w:rPr>
          <w:spacing w:val="42"/>
          <w:sz w:val="24"/>
        </w:rPr>
        <w:t> </w:t>
      </w:r>
      <w:r>
        <w:rPr>
          <w:sz w:val="24"/>
        </w:rPr>
        <w:t>117°</w:t>
      </w:r>
      <w:r>
        <w:rPr>
          <w:spacing w:val="42"/>
          <w:sz w:val="24"/>
        </w:rPr>
        <w:t> </w:t>
      </w:r>
      <w:r>
        <w:rPr>
          <w:sz w:val="24"/>
        </w:rPr>
        <w:t>0’</w:t>
      </w:r>
      <w:r>
        <w:rPr>
          <w:spacing w:val="40"/>
          <w:sz w:val="24"/>
        </w:rPr>
        <w:t> </w:t>
      </w:r>
      <w:r>
        <w:rPr>
          <w:sz w:val="24"/>
        </w:rPr>
        <w:t>20,102”</w:t>
      </w:r>
      <w:r>
        <w:rPr>
          <w:spacing w:val="43"/>
          <w:sz w:val="24"/>
        </w:rPr>
        <w:t> </w:t>
      </w:r>
      <w:r>
        <w:rPr>
          <w:sz w:val="24"/>
        </w:rPr>
        <w:t>Bujur</w:t>
      </w:r>
      <w:r>
        <w:rPr>
          <w:spacing w:val="40"/>
          <w:sz w:val="24"/>
        </w:rPr>
        <w:t> </w:t>
      </w:r>
      <w:r>
        <w:rPr>
          <w:sz w:val="24"/>
        </w:rPr>
        <w:t>Timur</w:t>
      </w:r>
      <w:r>
        <w:rPr>
          <w:spacing w:val="40"/>
          <w:sz w:val="24"/>
        </w:rPr>
        <w:t> </w:t>
      </w:r>
      <w:r>
        <w:rPr>
          <w:sz w:val="24"/>
        </w:rPr>
        <w:t>dan</w:t>
      </w:r>
      <w:r>
        <w:rPr>
          <w:spacing w:val="41"/>
          <w:sz w:val="24"/>
        </w:rPr>
        <w:t> </w:t>
      </w:r>
      <w:r>
        <w:rPr>
          <w:sz w:val="24"/>
        </w:rPr>
        <w:t>0°</w:t>
      </w:r>
      <w:r>
        <w:rPr>
          <w:spacing w:val="42"/>
          <w:sz w:val="24"/>
        </w:rPr>
        <w:t> </w:t>
      </w:r>
      <w:r>
        <w:rPr>
          <w:sz w:val="24"/>
        </w:rPr>
        <w:t>38’</w:t>
      </w:r>
      <w:r>
        <w:rPr>
          <w:spacing w:val="40"/>
          <w:sz w:val="24"/>
        </w:rPr>
        <w:t> </w:t>
      </w:r>
      <w:r>
        <w:rPr>
          <w:spacing w:val="-2"/>
          <w:sz w:val="24"/>
        </w:rPr>
        <w:t>20,578”</w:t>
      </w:r>
    </w:p>
    <w:p>
      <w:pPr>
        <w:pStyle w:val="BodyText"/>
        <w:spacing w:before="156"/>
        <w:ind w:left="1704"/>
        <w:jc w:val="left"/>
      </w:pPr>
      <w:r>
        <w:rPr/>
        <w:t>Lintang</w:t>
      </w:r>
      <w:r>
        <w:rPr>
          <w:spacing w:val="-10"/>
        </w:rPr>
        <w:t> </w:t>
      </w:r>
      <w:r>
        <w:rPr>
          <w:spacing w:val="-2"/>
        </w:rPr>
        <w:t>Selatan;</w:t>
      </w:r>
    </w:p>
    <w:p>
      <w:pPr>
        <w:pStyle w:val="ListParagraph"/>
        <w:numPr>
          <w:ilvl w:val="1"/>
          <w:numId w:val="31"/>
        </w:numPr>
        <w:tabs>
          <w:tab w:pos="1704" w:val="left" w:leader="none"/>
        </w:tabs>
        <w:spacing w:line="240" w:lineRule="auto" w:before="161" w:after="0"/>
        <w:ind w:left="1704" w:right="0" w:hanging="428"/>
        <w:jc w:val="left"/>
        <w:rPr>
          <w:sz w:val="24"/>
        </w:rPr>
      </w:pPr>
      <w:r>
        <w:rPr>
          <w:sz w:val="24"/>
        </w:rPr>
        <w:t>Bagian</w:t>
      </w:r>
      <w:r>
        <w:rPr>
          <w:spacing w:val="4"/>
          <w:sz w:val="24"/>
        </w:rPr>
        <w:t> </w:t>
      </w:r>
      <w:r>
        <w:rPr>
          <w:sz w:val="24"/>
        </w:rPr>
        <w:t>Selatan:</w:t>
      </w:r>
      <w:r>
        <w:rPr>
          <w:spacing w:val="9"/>
          <w:sz w:val="24"/>
        </w:rPr>
        <w:t> </w:t>
      </w:r>
      <w:r>
        <w:rPr>
          <w:sz w:val="24"/>
        </w:rPr>
        <w:t>117°</w:t>
      </w:r>
      <w:r>
        <w:rPr>
          <w:spacing w:val="10"/>
          <w:sz w:val="24"/>
        </w:rPr>
        <w:t> </w:t>
      </w:r>
      <w:r>
        <w:rPr>
          <w:sz w:val="24"/>
        </w:rPr>
        <w:t>11’</w:t>
      </w:r>
      <w:r>
        <w:rPr>
          <w:spacing w:val="10"/>
          <w:sz w:val="24"/>
        </w:rPr>
        <w:t> </w:t>
      </w:r>
      <w:r>
        <w:rPr>
          <w:sz w:val="24"/>
        </w:rPr>
        <w:t>51,546”</w:t>
      </w:r>
      <w:r>
        <w:rPr>
          <w:spacing w:val="9"/>
          <w:sz w:val="24"/>
        </w:rPr>
        <w:t> </w:t>
      </w:r>
      <w:r>
        <w:rPr>
          <w:sz w:val="24"/>
        </w:rPr>
        <w:t>Bujur</w:t>
      </w:r>
      <w:r>
        <w:rPr>
          <w:spacing w:val="12"/>
          <w:sz w:val="24"/>
        </w:rPr>
        <w:t> </w:t>
      </w:r>
      <w:r>
        <w:rPr>
          <w:sz w:val="24"/>
        </w:rPr>
        <w:t>Timur</w:t>
      </w:r>
      <w:r>
        <w:rPr>
          <w:spacing w:val="6"/>
          <w:sz w:val="24"/>
        </w:rPr>
        <w:t> </w:t>
      </w:r>
      <w:r>
        <w:rPr>
          <w:sz w:val="24"/>
        </w:rPr>
        <w:t>dan</w:t>
      </w:r>
      <w:r>
        <w:rPr>
          <w:spacing w:val="7"/>
          <w:sz w:val="24"/>
        </w:rPr>
        <w:t> </w:t>
      </w:r>
      <w:r>
        <w:rPr>
          <w:sz w:val="24"/>
        </w:rPr>
        <w:t>1°</w:t>
      </w:r>
      <w:r>
        <w:rPr>
          <w:spacing w:val="8"/>
          <w:sz w:val="24"/>
        </w:rPr>
        <w:t> </w:t>
      </w:r>
      <w:r>
        <w:rPr>
          <w:sz w:val="24"/>
        </w:rPr>
        <w:t>15’</w:t>
      </w:r>
      <w:r>
        <w:rPr>
          <w:spacing w:val="11"/>
          <w:sz w:val="24"/>
        </w:rPr>
        <w:t> </w:t>
      </w:r>
      <w:r>
        <w:rPr>
          <w:spacing w:val="-2"/>
          <w:sz w:val="24"/>
        </w:rPr>
        <w:t>31,180”</w:t>
      </w:r>
    </w:p>
    <w:p>
      <w:pPr>
        <w:pStyle w:val="BodyText"/>
        <w:spacing w:before="161"/>
        <w:ind w:left="1704"/>
        <w:jc w:val="left"/>
      </w:pPr>
      <w:r>
        <w:rPr/>
        <w:t>Lintang</w:t>
      </w:r>
      <w:r>
        <w:rPr>
          <w:spacing w:val="-10"/>
        </w:rPr>
        <w:t> </w:t>
      </w:r>
      <w:r>
        <w:rPr>
          <w:spacing w:val="-2"/>
        </w:rPr>
        <w:t>Selatan;</w:t>
      </w:r>
    </w:p>
    <w:p>
      <w:pPr>
        <w:pStyle w:val="ListParagraph"/>
        <w:numPr>
          <w:ilvl w:val="1"/>
          <w:numId w:val="31"/>
        </w:numPr>
        <w:tabs>
          <w:tab w:pos="1704" w:val="left" w:leader="none"/>
        </w:tabs>
        <w:spacing w:line="240" w:lineRule="auto" w:before="161" w:after="0"/>
        <w:ind w:left="1704" w:right="0" w:hanging="428"/>
        <w:jc w:val="left"/>
        <w:rPr>
          <w:sz w:val="24"/>
        </w:rPr>
      </w:pPr>
      <w:r>
        <w:rPr>
          <w:sz w:val="24"/>
        </w:rPr>
        <w:t>Bagian</w:t>
      </w:r>
      <w:r>
        <w:rPr>
          <w:spacing w:val="44"/>
          <w:sz w:val="24"/>
        </w:rPr>
        <w:t> </w:t>
      </w:r>
      <w:r>
        <w:rPr>
          <w:sz w:val="24"/>
        </w:rPr>
        <w:t>Barat:</w:t>
      </w:r>
      <w:r>
        <w:rPr>
          <w:spacing w:val="47"/>
          <w:sz w:val="24"/>
        </w:rPr>
        <w:t> </w:t>
      </w:r>
      <w:r>
        <w:rPr>
          <w:sz w:val="24"/>
        </w:rPr>
        <w:t>116°</w:t>
      </w:r>
      <w:r>
        <w:rPr>
          <w:spacing w:val="47"/>
          <w:sz w:val="24"/>
        </w:rPr>
        <w:t> </w:t>
      </w:r>
      <w:r>
        <w:rPr>
          <w:sz w:val="24"/>
        </w:rPr>
        <w:t>31’</w:t>
      </w:r>
      <w:r>
        <w:rPr>
          <w:spacing w:val="39"/>
          <w:sz w:val="24"/>
        </w:rPr>
        <w:t> </w:t>
      </w:r>
      <w:r>
        <w:rPr>
          <w:sz w:val="24"/>
        </w:rPr>
        <w:t>31,180”</w:t>
      </w:r>
      <w:r>
        <w:rPr>
          <w:spacing w:val="43"/>
          <w:sz w:val="24"/>
        </w:rPr>
        <w:t> </w:t>
      </w:r>
      <w:r>
        <w:rPr>
          <w:sz w:val="24"/>
        </w:rPr>
        <w:t>Bujur</w:t>
      </w:r>
      <w:r>
        <w:rPr>
          <w:spacing w:val="44"/>
          <w:sz w:val="24"/>
        </w:rPr>
        <w:t> </w:t>
      </w:r>
      <w:r>
        <w:rPr>
          <w:sz w:val="24"/>
        </w:rPr>
        <w:t>Timur</w:t>
      </w:r>
      <w:r>
        <w:rPr>
          <w:spacing w:val="44"/>
          <w:sz w:val="24"/>
        </w:rPr>
        <w:t> </w:t>
      </w:r>
      <w:r>
        <w:rPr>
          <w:sz w:val="24"/>
        </w:rPr>
        <w:t>dan</w:t>
      </w:r>
      <w:r>
        <w:rPr>
          <w:spacing w:val="45"/>
          <w:sz w:val="24"/>
        </w:rPr>
        <w:t> </w:t>
      </w:r>
      <w:r>
        <w:rPr>
          <w:sz w:val="24"/>
        </w:rPr>
        <w:t>1°</w:t>
      </w:r>
      <w:r>
        <w:rPr>
          <w:spacing w:val="46"/>
          <w:sz w:val="24"/>
        </w:rPr>
        <w:t> </w:t>
      </w:r>
      <w:r>
        <w:rPr>
          <w:sz w:val="24"/>
        </w:rPr>
        <w:t>0’</w:t>
      </w:r>
      <w:r>
        <w:rPr>
          <w:spacing w:val="44"/>
          <w:sz w:val="24"/>
        </w:rPr>
        <w:t> </w:t>
      </w:r>
      <w:r>
        <w:rPr>
          <w:spacing w:val="-2"/>
          <w:sz w:val="24"/>
        </w:rPr>
        <w:t>14,822”</w:t>
      </w:r>
    </w:p>
    <w:p>
      <w:pPr>
        <w:pStyle w:val="BodyText"/>
        <w:spacing w:before="156"/>
        <w:ind w:left="1704"/>
        <w:jc w:val="left"/>
      </w:pPr>
      <w:r>
        <w:rPr/>
        <w:t>Lintang</w:t>
      </w:r>
      <w:r>
        <w:rPr>
          <w:spacing w:val="-10"/>
        </w:rPr>
        <w:t> </w:t>
      </w:r>
      <w:r>
        <w:rPr/>
        <w:t>Selatan;</w:t>
      </w:r>
      <w:r>
        <w:rPr>
          <w:spacing w:val="-6"/>
        </w:rPr>
        <w:t> </w:t>
      </w:r>
      <w:r>
        <w:rPr>
          <w:spacing w:val="-5"/>
        </w:rPr>
        <w:t>dan</w:t>
      </w:r>
    </w:p>
    <w:p>
      <w:pPr>
        <w:pStyle w:val="ListParagraph"/>
        <w:numPr>
          <w:ilvl w:val="1"/>
          <w:numId w:val="31"/>
        </w:numPr>
        <w:tabs>
          <w:tab w:pos="1704" w:val="left" w:leader="none"/>
        </w:tabs>
        <w:spacing w:line="240" w:lineRule="auto" w:before="161" w:after="0"/>
        <w:ind w:left="1704" w:right="0" w:hanging="428"/>
        <w:jc w:val="left"/>
        <w:rPr>
          <w:sz w:val="24"/>
        </w:rPr>
      </w:pPr>
      <w:r>
        <w:rPr>
          <w:sz w:val="24"/>
        </w:rPr>
        <w:t>Bagian</w:t>
      </w:r>
      <w:r>
        <w:rPr>
          <w:spacing w:val="38"/>
          <w:sz w:val="24"/>
        </w:rPr>
        <w:t> </w:t>
      </w:r>
      <w:r>
        <w:rPr>
          <w:sz w:val="24"/>
        </w:rPr>
        <w:t>Timur:</w:t>
      </w:r>
      <w:r>
        <w:rPr>
          <w:spacing w:val="38"/>
          <w:sz w:val="24"/>
        </w:rPr>
        <w:t> </w:t>
      </w:r>
      <w:r>
        <w:rPr>
          <w:sz w:val="24"/>
        </w:rPr>
        <w:t>117°</w:t>
      </w:r>
      <w:r>
        <w:rPr>
          <w:spacing w:val="40"/>
          <w:sz w:val="24"/>
        </w:rPr>
        <w:t> </w:t>
      </w:r>
      <w:r>
        <w:rPr>
          <w:sz w:val="24"/>
        </w:rPr>
        <w:t>18’</w:t>
      </w:r>
      <w:r>
        <w:rPr>
          <w:spacing w:val="35"/>
          <w:sz w:val="24"/>
        </w:rPr>
        <w:t> </w:t>
      </w:r>
      <w:r>
        <w:rPr>
          <w:sz w:val="24"/>
        </w:rPr>
        <w:t>25,590”</w:t>
      </w:r>
      <w:r>
        <w:rPr>
          <w:spacing w:val="41"/>
          <w:sz w:val="24"/>
        </w:rPr>
        <w:t> </w:t>
      </w:r>
      <w:r>
        <w:rPr>
          <w:sz w:val="24"/>
        </w:rPr>
        <w:t>Bujur</w:t>
      </w:r>
      <w:r>
        <w:rPr>
          <w:spacing w:val="39"/>
          <w:sz w:val="24"/>
        </w:rPr>
        <w:t> </w:t>
      </w:r>
      <w:r>
        <w:rPr>
          <w:sz w:val="24"/>
        </w:rPr>
        <w:t>Timur</w:t>
      </w:r>
      <w:r>
        <w:rPr>
          <w:spacing w:val="39"/>
          <w:sz w:val="24"/>
        </w:rPr>
        <w:t> </w:t>
      </w:r>
      <w:r>
        <w:rPr>
          <w:sz w:val="24"/>
        </w:rPr>
        <w:t>dan</w:t>
      </w:r>
      <w:r>
        <w:rPr>
          <w:spacing w:val="39"/>
          <w:sz w:val="24"/>
        </w:rPr>
        <w:t> </w:t>
      </w:r>
      <w:r>
        <w:rPr>
          <w:sz w:val="24"/>
        </w:rPr>
        <w:t>1°</w:t>
      </w:r>
      <w:r>
        <w:rPr>
          <w:spacing w:val="41"/>
          <w:sz w:val="24"/>
        </w:rPr>
        <w:t> </w:t>
      </w:r>
      <w:r>
        <w:rPr>
          <w:sz w:val="24"/>
        </w:rPr>
        <w:t>6’</w:t>
      </w:r>
      <w:r>
        <w:rPr>
          <w:spacing w:val="34"/>
          <w:sz w:val="24"/>
        </w:rPr>
        <w:t> </w:t>
      </w:r>
      <w:r>
        <w:rPr>
          <w:spacing w:val="-2"/>
          <w:sz w:val="24"/>
        </w:rPr>
        <w:t>32,773”</w:t>
      </w:r>
    </w:p>
    <w:p>
      <w:pPr>
        <w:pStyle w:val="BodyText"/>
        <w:spacing w:before="160"/>
        <w:ind w:left="1704"/>
      </w:pPr>
      <w:r>
        <w:rPr/>
        <w:t>Lintang</w:t>
      </w:r>
      <w:r>
        <w:rPr>
          <w:spacing w:val="-10"/>
        </w:rPr>
        <w:t> </w:t>
      </w:r>
      <w:r>
        <w:rPr>
          <w:spacing w:val="-2"/>
        </w:rPr>
        <w:t>Selatan.</w:t>
      </w:r>
    </w:p>
    <w:p>
      <w:pPr>
        <w:pStyle w:val="BodyText"/>
        <w:spacing w:line="360" w:lineRule="auto" w:before="162"/>
        <w:ind w:left="993" w:right="706" w:firstLine="710"/>
      </w:pPr>
      <w:r>
        <w:rPr/>
        <w:t>Adapun</w:t>
      </w:r>
      <w:r>
        <w:rPr>
          <w:spacing w:val="-6"/>
        </w:rPr>
        <w:t> </w:t>
      </w:r>
      <w:r>
        <w:rPr/>
        <w:t>peta</w:t>
      </w:r>
      <w:r>
        <w:rPr>
          <w:spacing w:val="-6"/>
        </w:rPr>
        <w:t> </w:t>
      </w:r>
      <w:r>
        <w:rPr/>
        <w:t>wilayah</w:t>
      </w:r>
      <w:r>
        <w:rPr>
          <w:spacing w:val="-6"/>
        </w:rPr>
        <w:t> </w:t>
      </w:r>
      <w:r>
        <w:rPr/>
        <w:t>Kabupaten</w:t>
      </w:r>
      <w:r>
        <w:rPr>
          <w:spacing w:val="-6"/>
        </w:rPr>
        <w:t> </w:t>
      </w:r>
      <w:r>
        <w:rPr/>
        <w:t>Kutai</w:t>
      </w:r>
      <w:r>
        <w:rPr>
          <w:spacing w:val="-5"/>
        </w:rPr>
        <w:t> </w:t>
      </w:r>
      <w:r>
        <w:rPr/>
        <w:t>Kartanegara</w:t>
      </w:r>
      <w:r>
        <w:rPr>
          <w:spacing w:val="-6"/>
        </w:rPr>
        <w:t> </w:t>
      </w:r>
      <w:r>
        <w:rPr/>
        <w:t>yang</w:t>
      </w:r>
      <w:r>
        <w:rPr>
          <w:spacing w:val="-6"/>
        </w:rPr>
        <w:t> </w:t>
      </w:r>
      <w:r>
        <w:rPr/>
        <w:t>diambil oleh IKN menurut UU Nomor 3 Tahun 2022 sebagaimana</w:t>
      </w:r>
      <w:r>
        <w:rPr>
          <w:spacing w:val="-1"/>
        </w:rPr>
        <w:t> </w:t>
      </w:r>
      <w:r>
        <w:rPr/>
        <w:t>terlihat pada Gambar 3.</w:t>
      </w:r>
    </w:p>
    <w:p>
      <w:pPr>
        <w:pStyle w:val="BodyText"/>
        <w:spacing w:after="0" w:line="360" w:lineRule="auto"/>
        <w:sectPr>
          <w:pgSz w:w="11910" w:h="16840"/>
          <w:pgMar w:header="0" w:footer="1186" w:top="1580" w:bottom="1380" w:left="1700" w:right="992"/>
        </w:sectPr>
      </w:pPr>
    </w:p>
    <w:p>
      <w:pPr>
        <w:pStyle w:val="BodyText"/>
        <w:ind w:left="625"/>
        <w:jc w:val="left"/>
        <w:rPr>
          <w:sz w:val="20"/>
        </w:rPr>
      </w:pPr>
      <w:r>
        <w:rPr>
          <w:sz w:val="20"/>
        </w:rPr>
        <w:drawing>
          <wp:inline distT="0" distB="0" distL="0" distR="0">
            <wp:extent cx="5346047" cy="3952875"/>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5346047" cy="3952875"/>
                    </a:xfrm>
                    <a:prstGeom prst="rect">
                      <a:avLst/>
                    </a:prstGeom>
                  </pic:spPr>
                </pic:pic>
              </a:graphicData>
            </a:graphic>
          </wp:inline>
        </w:drawing>
      </w:r>
      <w:r>
        <w:rPr>
          <w:sz w:val="20"/>
        </w:rPr>
      </w:r>
    </w:p>
    <w:p>
      <w:pPr>
        <w:spacing w:line="237" w:lineRule="auto" w:before="152"/>
        <w:ind w:left="2866" w:right="600" w:hanging="2032"/>
        <w:jc w:val="left"/>
        <w:rPr>
          <w:rFonts w:ascii="Lucida Sans Unicode"/>
          <w:sz w:val="22"/>
        </w:rPr>
      </w:pPr>
      <w:bookmarkStart w:name="_bookmark37" w:id="38"/>
      <w:bookmarkEnd w:id="38"/>
      <w:r>
        <w:rPr/>
      </w:r>
      <w:r>
        <w:rPr>
          <w:rFonts w:ascii="Tahoma"/>
          <w:b/>
          <w:sz w:val="22"/>
        </w:rPr>
        <w:t>Gambar 3.</w:t>
      </w:r>
      <w:r>
        <w:rPr>
          <w:rFonts w:ascii="Tahoma"/>
          <w:b/>
          <w:spacing w:val="33"/>
          <w:sz w:val="22"/>
        </w:rPr>
        <w:t> </w:t>
      </w:r>
      <w:r>
        <w:rPr>
          <w:rFonts w:ascii="Lucida Sans Unicode"/>
          <w:sz w:val="22"/>
        </w:rPr>
        <w:t>Wilayah</w:t>
      </w:r>
      <w:r>
        <w:rPr>
          <w:rFonts w:ascii="Lucida Sans Unicode"/>
          <w:spacing w:val="33"/>
          <w:sz w:val="22"/>
        </w:rPr>
        <w:t> </w:t>
      </w:r>
      <w:r>
        <w:rPr>
          <w:rFonts w:ascii="Lucida Sans Unicode"/>
          <w:sz w:val="22"/>
        </w:rPr>
        <w:t>Kabupaten Kutai Kartanegara yang Diambil</w:t>
      </w:r>
      <w:r>
        <w:rPr>
          <w:rFonts w:ascii="Lucida Sans Unicode"/>
          <w:spacing w:val="34"/>
          <w:sz w:val="22"/>
        </w:rPr>
        <w:t> </w:t>
      </w:r>
      <w:r>
        <w:rPr>
          <w:rFonts w:ascii="Lucida Sans Unicode"/>
          <w:sz w:val="22"/>
        </w:rPr>
        <w:t>IKN Pasca UU Nomor 3 Tahun 2022</w:t>
      </w:r>
    </w:p>
    <w:p>
      <w:pPr>
        <w:pStyle w:val="BodyText"/>
        <w:spacing w:before="179"/>
        <w:ind w:left="633"/>
        <w:jc w:val="left"/>
      </w:pPr>
      <w:r>
        <w:rPr>
          <w:i/>
        </w:rPr>
        <w:t>Sumber</w:t>
      </w:r>
      <w:r>
        <w:rPr/>
        <w:t>:</w:t>
      </w:r>
      <w:r>
        <w:rPr>
          <w:spacing w:val="-9"/>
        </w:rPr>
        <w:t> </w:t>
      </w:r>
      <w:r>
        <w:rPr/>
        <w:t>Direktorat</w:t>
      </w:r>
      <w:r>
        <w:rPr>
          <w:spacing w:val="-3"/>
        </w:rPr>
        <w:t> </w:t>
      </w:r>
      <w:r>
        <w:rPr/>
        <w:t>Tata</w:t>
      </w:r>
      <w:r>
        <w:rPr>
          <w:spacing w:val="-9"/>
        </w:rPr>
        <w:t> </w:t>
      </w:r>
      <w:r>
        <w:rPr/>
        <w:t>Ruang</w:t>
      </w:r>
      <w:r>
        <w:rPr>
          <w:spacing w:val="-5"/>
        </w:rPr>
        <w:t> </w:t>
      </w:r>
      <w:r>
        <w:rPr/>
        <w:t>Kementerian</w:t>
      </w:r>
      <w:r>
        <w:rPr>
          <w:spacing w:val="-4"/>
        </w:rPr>
        <w:t> </w:t>
      </w:r>
      <w:r>
        <w:rPr/>
        <w:t>ATR/BPN,</w:t>
      </w:r>
      <w:r>
        <w:rPr>
          <w:spacing w:val="-6"/>
        </w:rPr>
        <w:t> </w:t>
      </w:r>
      <w:r>
        <w:rPr>
          <w:spacing w:val="-2"/>
        </w:rPr>
        <w:t>2023.</w:t>
      </w:r>
    </w:p>
    <w:p>
      <w:pPr>
        <w:pStyle w:val="Heading2"/>
        <w:numPr>
          <w:ilvl w:val="0"/>
          <w:numId w:val="31"/>
        </w:numPr>
        <w:tabs>
          <w:tab w:pos="1285" w:val="left" w:leader="none"/>
        </w:tabs>
        <w:spacing w:line="240" w:lineRule="auto" w:before="315" w:after="0"/>
        <w:ind w:left="1285" w:right="0" w:hanging="292"/>
        <w:jc w:val="both"/>
      </w:pPr>
      <w:r>
        <w:rPr/>
        <w:t>Batas</w:t>
      </w:r>
      <w:r>
        <w:rPr>
          <w:spacing w:val="-3"/>
        </w:rPr>
        <w:t> </w:t>
      </w:r>
      <w:r>
        <w:rPr>
          <w:spacing w:val="-2"/>
        </w:rPr>
        <w:t>Wilayah</w:t>
      </w:r>
    </w:p>
    <w:p>
      <w:pPr>
        <w:pStyle w:val="ListParagraph"/>
        <w:numPr>
          <w:ilvl w:val="1"/>
          <w:numId w:val="31"/>
        </w:numPr>
        <w:tabs>
          <w:tab w:pos="1558" w:val="left" w:leader="none"/>
          <w:tab w:pos="1560" w:val="left" w:leader="none"/>
        </w:tabs>
        <w:spacing w:line="360" w:lineRule="auto" w:before="152" w:after="0"/>
        <w:ind w:left="1560" w:right="704" w:hanging="284"/>
        <w:jc w:val="both"/>
        <w:rPr>
          <w:sz w:val="24"/>
        </w:rPr>
      </w:pPr>
      <w:r>
        <w:rPr>
          <w:sz w:val="24"/>
        </w:rPr>
        <w:t>Sebelah Selatan: Kecamatan Penajam Kabupaten Penajam Paser Utara, Teluk Balikpapan, Kecamatan Balikpapan Barat, Kecamatan Balikpapan Utara, dan Kecamatan Balikpapan Timur Kota </w:t>
      </w:r>
      <w:r>
        <w:rPr>
          <w:spacing w:val="-2"/>
          <w:sz w:val="24"/>
        </w:rPr>
        <w:t>Balikpapan;</w:t>
      </w:r>
    </w:p>
    <w:p>
      <w:pPr>
        <w:pStyle w:val="ListParagraph"/>
        <w:numPr>
          <w:ilvl w:val="1"/>
          <w:numId w:val="31"/>
        </w:numPr>
        <w:tabs>
          <w:tab w:pos="1558" w:val="left" w:leader="none"/>
          <w:tab w:pos="1560" w:val="left" w:leader="none"/>
        </w:tabs>
        <w:spacing w:line="360" w:lineRule="auto" w:before="5" w:after="0"/>
        <w:ind w:left="1560" w:right="704" w:hanging="284"/>
        <w:jc w:val="both"/>
        <w:rPr>
          <w:sz w:val="24"/>
        </w:rPr>
      </w:pPr>
      <w:r>
        <w:rPr>
          <w:sz w:val="24"/>
        </w:rPr>
        <w:t>Sebelah Barat: Kecamatan Loa Kulu Kabupaten Kutai Kartanegara dan Kecamatan Sepaku Kabupaten Penajam Paser Utara;</w:t>
      </w:r>
    </w:p>
    <w:p>
      <w:pPr>
        <w:pStyle w:val="ListParagraph"/>
        <w:numPr>
          <w:ilvl w:val="1"/>
          <w:numId w:val="31"/>
        </w:numPr>
        <w:tabs>
          <w:tab w:pos="1558" w:val="left" w:leader="none"/>
          <w:tab w:pos="1560" w:val="left" w:leader="none"/>
        </w:tabs>
        <w:spacing w:line="360" w:lineRule="auto" w:before="0" w:after="0"/>
        <w:ind w:left="1560" w:right="710" w:hanging="284"/>
        <w:jc w:val="both"/>
        <w:rPr>
          <w:sz w:val="24"/>
        </w:rPr>
      </w:pPr>
      <w:r>
        <w:rPr>
          <w:sz w:val="24"/>
        </w:rPr>
        <w:t>Sebelah Utara: Kecamatan Loa Kulu, Kecamatan Loa Janan, dan Kecamatan Sanga-Sanga Kabupaten Kutai Kartanegara; dan</w:t>
      </w:r>
    </w:p>
    <w:p>
      <w:pPr>
        <w:pStyle w:val="ListParagraph"/>
        <w:numPr>
          <w:ilvl w:val="1"/>
          <w:numId w:val="31"/>
        </w:numPr>
        <w:tabs>
          <w:tab w:pos="1558" w:val="left" w:leader="none"/>
        </w:tabs>
        <w:spacing w:line="240" w:lineRule="auto" w:before="0" w:after="0"/>
        <w:ind w:left="1558" w:right="0" w:hanging="282"/>
        <w:jc w:val="both"/>
        <w:rPr>
          <w:sz w:val="24"/>
        </w:rPr>
      </w:pPr>
      <w:r>
        <w:rPr>
          <w:sz w:val="24"/>
        </w:rPr>
        <w:t>Sebelah</w:t>
      </w:r>
      <w:r>
        <w:rPr>
          <w:spacing w:val="-10"/>
          <w:sz w:val="24"/>
        </w:rPr>
        <w:t> </w:t>
      </w:r>
      <w:r>
        <w:rPr>
          <w:sz w:val="24"/>
        </w:rPr>
        <w:t>Timur:</w:t>
      </w:r>
      <w:r>
        <w:rPr>
          <w:spacing w:val="-7"/>
          <w:sz w:val="24"/>
        </w:rPr>
        <w:t> </w:t>
      </w:r>
      <w:r>
        <w:rPr>
          <w:sz w:val="24"/>
        </w:rPr>
        <w:t>Selatan</w:t>
      </w:r>
      <w:r>
        <w:rPr>
          <w:spacing w:val="-9"/>
          <w:sz w:val="24"/>
        </w:rPr>
        <w:t> </w:t>
      </w:r>
      <w:r>
        <w:rPr>
          <w:spacing w:val="-2"/>
          <w:sz w:val="24"/>
        </w:rPr>
        <w:t>Makassar.</w:t>
      </w:r>
    </w:p>
    <w:p>
      <w:pPr>
        <w:pStyle w:val="ListParagraph"/>
        <w:spacing w:after="0" w:line="240" w:lineRule="auto"/>
        <w:jc w:val="both"/>
        <w:rPr>
          <w:sz w:val="24"/>
        </w:rPr>
        <w:sectPr>
          <w:pgSz w:w="11910" w:h="16840"/>
          <w:pgMar w:header="0" w:footer="1186" w:top="1720" w:bottom="1380" w:left="1700" w:right="992"/>
        </w:sectPr>
      </w:pPr>
    </w:p>
    <w:p>
      <w:pPr>
        <w:pStyle w:val="Heading2"/>
        <w:numPr>
          <w:ilvl w:val="0"/>
          <w:numId w:val="31"/>
        </w:numPr>
        <w:tabs>
          <w:tab w:pos="1286" w:val="left" w:leader="none"/>
        </w:tabs>
        <w:spacing w:line="240" w:lineRule="auto" w:before="82" w:after="0"/>
        <w:ind w:left="1286" w:right="0" w:hanging="293"/>
        <w:jc w:val="left"/>
      </w:pPr>
      <w:r>
        <w:rPr/>
        <w:t>Luas</w:t>
      </w:r>
      <w:r>
        <w:rPr>
          <w:spacing w:val="-9"/>
        </w:rPr>
        <w:t> </w:t>
      </w:r>
      <w:r>
        <w:rPr>
          <w:spacing w:val="-2"/>
        </w:rPr>
        <w:t>Wilayah</w:t>
      </w:r>
    </w:p>
    <w:p>
      <w:pPr>
        <w:pStyle w:val="BodyText"/>
        <w:spacing w:before="152"/>
        <w:ind w:left="1286"/>
        <w:jc w:val="left"/>
      </w:pPr>
      <w:r>
        <w:rPr/>
        <w:t>Luas</w:t>
      </w:r>
      <w:r>
        <w:rPr>
          <w:spacing w:val="-9"/>
        </w:rPr>
        <w:t> </w:t>
      </w:r>
      <w:r>
        <w:rPr/>
        <w:t>wilayah</w:t>
      </w:r>
      <w:r>
        <w:rPr>
          <w:spacing w:val="-9"/>
        </w:rPr>
        <w:t> </w:t>
      </w:r>
      <w:r>
        <w:rPr/>
        <w:t>IKN</w:t>
      </w:r>
      <w:r>
        <w:rPr>
          <w:spacing w:val="-8"/>
        </w:rPr>
        <w:t> </w:t>
      </w:r>
      <w:r>
        <w:rPr>
          <w:spacing w:val="-2"/>
        </w:rPr>
        <w:t>meliputi:</w:t>
      </w:r>
    </w:p>
    <w:p>
      <w:pPr>
        <w:pStyle w:val="ListParagraph"/>
        <w:numPr>
          <w:ilvl w:val="1"/>
          <w:numId w:val="31"/>
        </w:numPr>
        <w:tabs>
          <w:tab w:pos="1558" w:val="left" w:leader="none"/>
        </w:tabs>
        <w:spacing w:line="240" w:lineRule="auto" w:before="161" w:after="0"/>
        <w:ind w:left="1558" w:right="0" w:hanging="282"/>
        <w:jc w:val="left"/>
        <w:rPr>
          <w:sz w:val="24"/>
        </w:rPr>
      </w:pPr>
      <w:r>
        <w:rPr>
          <w:sz w:val="24"/>
        </w:rPr>
        <w:t>Luas</w:t>
      </w:r>
      <w:r>
        <w:rPr>
          <w:spacing w:val="-5"/>
          <w:sz w:val="24"/>
        </w:rPr>
        <w:t> </w:t>
      </w:r>
      <w:r>
        <w:rPr>
          <w:sz w:val="24"/>
        </w:rPr>
        <w:t>wilayah</w:t>
      </w:r>
      <w:r>
        <w:rPr>
          <w:spacing w:val="-6"/>
          <w:sz w:val="24"/>
        </w:rPr>
        <w:t> </w:t>
      </w:r>
      <w:r>
        <w:rPr>
          <w:sz w:val="24"/>
        </w:rPr>
        <w:t>daratan:</w:t>
      </w:r>
      <w:r>
        <w:rPr>
          <w:spacing w:val="-7"/>
          <w:sz w:val="24"/>
        </w:rPr>
        <w:t> </w:t>
      </w:r>
      <w:r>
        <w:rPr>
          <w:sz w:val="24"/>
        </w:rPr>
        <w:t>±</w:t>
      </w:r>
      <w:r>
        <w:rPr>
          <w:spacing w:val="-5"/>
          <w:sz w:val="24"/>
        </w:rPr>
        <w:t> </w:t>
      </w:r>
      <w:r>
        <w:rPr>
          <w:sz w:val="24"/>
        </w:rPr>
        <w:t>252.660</w:t>
      </w:r>
      <w:r>
        <w:rPr>
          <w:spacing w:val="-2"/>
          <w:sz w:val="24"/>
        </w:rPr>
        <w:t> </w:t>
      </w:r>
      <w:r>
        <w:rPr>
          <w:sz w:val="24"/>
        </w:rPr>
        <w:t>ha,</w:t>
      </w:r>
      <w:r>
        <w:rPr>
          <w:spacing w:val="-3"/>
          <w:sz w:val="24"/>
        </w:rPr>
        <w:t> </w:t>
      </w:r>
      <w:r>
        <w:rPr>
          <w:sz w:val="24"/>
        </w:rPr>
        <w:t>terbagi</w:t>
      </w:r>
      <w:r>
        <w:rPr>
          <w:spacing w:val="-4"/>
          <w:sz w:val="24"/>
        </w:rPr>
        <w:t> atas</w:t>
      </w:r>
    </w:p>
    <w:p>
      <w:pPr>
        <w:pStyle w:val="ListParagraph"/>
        <w:numPr>
          <w:ilvl w:val="2"/>
          <w:numId w:val="31"/>
        </w:numPr>
        <w:tabs>
          <w:tab w:pos="1843" w:val="left" w:leader="none"/>
        </w:tabs>
        <w:spacing w:line="240" w:lineRule="auto" w:before="161" w:after="0"/>
        <w:ind w:left="1843" w:right="0" w:hanging="278"/>
        <w:jc w:val="left"/>
        <w:rPr>
          <w:sz w:val="24"/>
        </w:rPr>
      </w:pPr>
      <w:r>
        <w:rPr>
          <w:sz w:val="24"/>
        </w:rPr>
        <w:t>Kawasan</w:t>
      </w:r>
      <w:r>
        <w:rPr>
          <w:spacing w:val="-8"/>
          <w:sz w:val="24"/>
        </w:rPr>
        <w:t> </w:t>
      </w:r>
      <w:r>
        <w:rPr>
          <w:sz w:val="24"/>
        </w:rPr>
        <w:t>IKN</w:t>
      </w:r>
      <w:r>
        <w:rPr>
          <w:spacing w:val="-5"/>
          <w:sz w:val="24"/>
        </w:rPr>
        <w:t> </w:t>
      </w:r>
      <w:r>
        <w:rPr>
          <w:sz w:val="24"/>
        </w:rPr>
        <w:t>seluas</w:t>
      </w:r>
      <w:r>
        <w:rPr>
          <w:spacing w:val="-3"/>
          <w:sz w:val="24"/>
        </w:rPr>
        <w:t> </w:t>
      </w:r>
      <w:r>
        <w:rPr>
          <w:sz w:val="24"/>
        </w:rPr>
        <w:t>56.159</w:t>
      </w:r>
      <w:r>
        <w:rPr>
          <w:spacing w:val="-1"/>
          <w:sz w:val="24"/>
        </w:rPr>
        <w:t> </w:t>
      </w:r>
      <w:r>
        <w:rPr>
          <w:spacing w:val="-5"/>
          <w:sz w:val="24"/>
        </w:rPr>
        <w:t>ha</w:t>
      </w:r>
    </w:p>
    <w:p>
      <w:pPr>
        <w:pStyle w:val="ListParagraph"/>
        <w:numPr>
          <w:ilvl w:val="2"/>
          <w:numId w:val="31"/>
        </w:numPr>
        <w:tabs>
          <w:tab w:pos="1843" w:val="left" w:leader="none"/>
        </w:tabs>
        <w:spacing w:line="240" w:lineRule="auto" w:before="134" w:after="0"/>
        <w:ind w:left="1843" w:right="0" w:hanging="278"/>
        <w:jc w:val="left"/>
        <w:rPr>
          <w:sz w:val="24"/>
        </w:rPr>
      </w:pPr>
      <w:r>
        <w:rPr>
          <w:sz w:val="24"/>
        </w:rPr>
        <w:t>Kawasan</w:t>
      </w:r>
      <w:r>
        <w:rPr>
          <w:spacing w:val="-8"/>
          <w:sz w:val="24"/>
        </w:rPr>
        <w:t> </w:t>
      </w:r>
      <w:r>
        <w:rPr>
          <w:sz w:val="24"/>
        </w:rPr>
        <w:t>pengembangan</w:t>
      </w:r>
      <w:r>
        <w:rPr>
          <w:spacing w:val="-4"/>
          <w:sz w:val="24"/>
        </w:rPr>
        <w:t> </w:t>
      </w:r>
      <w:r>
        <w:rPr>
          <w:sz w:val="24"/>
        </w:rPr>
        <w:t>IKN</w:t>
      </w:r>
      <w:r>
        <w:rPr>
          <w:spacing w:val="-9"/>
          <w:sz w:val="24"/>
        </w:rPr>
        <w:t> </w:t>
      </w:r>
      <w:r>
        <w:rPr>
          <w:sz w:val="24"/>
        </w:rPr>
        <w:t>seluas</w:t>
      </w:r>
      <w:r>
        <w:rPr>
          <w:spacing w:val="-8"/>
          <w:sz w:val="24"/>
        </w:rPr>
        <w:t> </w:t>
      </w:r>
      <w:r>
        <w:rPr>
          <w:sz w:val="24"/>
        </w:rPr>
        <w:t>196.501</w:t>
      </w:r>
      <w:r>
        <w:rPr>
          <w:spacing w:val="-6"/>
          <w:sz w:val="24"/>
        </w:rPr>
        <w:t> </w:t>
      </w:r>
      <w:r>
        <w:rPr>
          <w:spacing w:val="-5"/>
          <w:sz w:val="24"/>
        </w:rPr>
        <w:t>ha</w:t>
      </w:r>
    </w:p>
    <w:p>
      <w:pPr>
        <w:pStyle w:val="ListParagraph"/>
        <w:numPr>
          <w:ilvl w:val="1"/>
          <w:numId w:val="31"/>
        </w:numPr>
        <w:tabs>
          <w:tab w:pos="1558" w:val="left" w:leader="none"/>
        </w:tabs>
        <w:spacing w:line="240" w:lineRule="auto" w:before="135" w:after="0"/>
        <w:ind w:left="1558" w:right="0" w:hanging="282"/>
        <w:jc w:val="left"/>
        <w:rPr>
          <w:sz w:val="24"/>
        </w:rPr>
      </w:pPr>
      <w:r>
        <w:rPr>
          <w:sz w:val="24"/>
        </w:rPr>
        <w:t>Luas</w:t>
      </w:r>
      <w:r>
        <w:rPr>
          <w:spacing w:val="-3"/>
          <w:sz w:val="24"/>
        </w:rPr>
        <w:t> </w:t>
      </w:r>
      <w:r>
        <w:rPr>
          <w:sz w:val="24"/>
        </w:rPr>
        <w:t>wilayah</w:t>
      </w:r>
      <w:r>
        <w:rPr>
          <w:spacing w:val="-4"/>
          <w:sz w:val="24"/>
        </w:rPr>
        <w:t> </w:t>
      </w:r>
      <w:r>
        <w:rPr>
          <w:sz w:val="24"/>
        </w:rPr>
        <w:t>perairan:</w:t>
      </w:r>
      <w:r>
        <w:rPr>
          <w:spacing w:val="-5"/>
          <w:sz w:val="24"/>
        </w:rPr>
        <w:t> </w:t>
      </w:r>
      <w:r>
        <w:rPr>
          <w:sz w:val="24"/>
        </w:rPr>
        <w:t>±</w:t>
      </w:r>
      <w:r>
        <w:rPr>
          <w:spacing w:val="-3"/>
          <w:sz w:val="24"/>
        </w:rPr>
        <w:t> </w:t>
      </w:r>
      <w:r>
        <w:rPr>
          <w:sz w:val="24"/>
        </w:rPr>
        <w:t>69.769</w:t>
      </w:r>
      <w:r>
        <w:rPr>
          <w:spacing w:val="-1"/>
          <w:sz w:val="24"/>
        </w:rPr>
        <w:t> </w:t>
      </w:r>
      <w:r>
        <w:rPr>
          <w:spacing w:val="-5"/>
          <w:sz w:val="24"/>
        </w:rPr>
        <w:t>ha.</w:t>
      </w:r>
    </w:p>
    <w:p>
      <w:pPr>
        <w:pStyle w:val="BodyText"/>
        <w:jc w:val="left"/>
      </w:pPr>
    </w:p>
    <w:p>
      <w:pPr>
        <w:pStyle w:val="BodyText"/>
        <w:spacing w:before="2"/>
        <w:jc w:val="left"/>
      </w:pPr>
    </w:p>
    <w:p>
      <w:pPr>
        <w:pStyle w:val="BodyText"/>
        <w:spacing w:line="360" w:lineRule="auto" w:before="1"/>
        <w:ind w:left="993" w:right="720" w:firstLine="710"/>
        <w:jc w:val="left"/>
      </w:pPr>
      <w:r>
        <w:rPr/>
        <w:t>Secara</w:t>
      </w:r>
      <w:r>
        <w:rPr>
          <w:spacing w:val="40"/>
        </w:rPr>
        <w:t> </w:t>
      </w:r>
      <w:r>
        <w:rPr/>
        <w:t>ringkas,</w:t>
      </w:r>
      <w:r>
        <w:rPr>
          <w:spacing w:val="40"/>
        </w:rPr>
        <w:t> </w:t>
      </w:r>
      <w:r>
        <w:rPr/>
        <w:t>cakupan</w:t>
      </w:r>
      <w:r>
        <w:rPr>
          <w:spacing w:val="40"/>
        </w:rPr>
        <w:t> </w:t>
      </w:r>
      <w:r>
        <w:rPr/>
        <w:t>wilayah</w:t>
      </w:r>
      <w:r>
        <w:rPr>
          <w:spacing w:val="40"/>
        </w:rPr>
        <w:t> </w:t>
      </w:r>
      <w:r>
        <w:rPr/>
        <w:t>IKN</w:t>
      </w:r>
      <w:r>
        <w:rPr>
          <w:spacing w:val="40"/>
        </w:rPr>
        <w:t> </w:t>
      </w:r>
      <w:r>
        <w:rPr/>
        <w:t>menurut</w:t>
      </w:r>
      <w:r>
        <w:rPr>
          <w:spacing w:val="40"/>
        </w:rPr>
        <w:t> </w:t>
      </w:r>
      <w:r>
        <w:rPr/>
        <w:t>UU</w:t>
      </w:r>
      <w:r>
        <w:rPr>
          <w:spacing w:val="40"/>
        </w:rPr>
        <w:t> </w:t>
      </w:r>
      <w:r>
        <w:rPr/>
        <w:t>Nomor</w:t>
      </w:r>
      <w:r>
        <w:rPr>
          <w:spacing w:val="40"/>
        </w:rPr>
        <w:t> </w:t>
      </w:r>
      <w:r>
        <w:rPr/>
        <w:t>21 Tahun 2023 sebagaimana tampak pada Gambar 4.</w:t>
      </w:r>
    </w:p>
    <w:p>
      <w:pPr>
        <w:pStyle w:val="BodyText"/>
        <w:spacing w:after="0" w:line="360" w:lineRule="auto"/>
        <w:jc w:val="left"/>
        <w:sectPr>
          <w:pgSz w:w="11910" w:h="16840"/>
          <w:pgMar w:header="0" w:footer="1186" w:top="1580" w:bottom="1380" w:left="1700" w:right="992"/>
        </w:sectPr>
      </w:pPr>
    </w:p>
    <w:p>
      <w:pPr>
        <w:pStyle w:val="BodyText"/>
        <w:ind w:left="794"/>
        <w:jc w:val="left"/>
        <w:rPr>
          <w:sz w:val="20"/>
        </w:rPr>
      </w:pPr>
      <w:r>
        <w:rPr>
          <w:sz w:val="20"/>
        </w:rPr>
        <w:drawing>
          <wp:inline distT="0" distB="0" distL="0" distR="0">
            <wp:extent cx="5100249" cy="393382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5100249" cy="3933825"/>
                    </a:xfrm>
                    <a:prstGeom prst="rect">
                      <a:avLst/>
                    </a:prstGeom>
                  </pic:spPr>
                </pic:pic>
              </a:graphicData>
            </a:graphic>
          </wp:inline>
        </w:drawing>
      </w:r>
      <w:r>
        <w:rPr>
          <w:sz w:val="20"/>
        </w:rPr>
      </w:r>
    </w:p>
    <w:p>
      <w:pPr>
        <w:spacing w:before="139"/>
        <w:ind w:left="873" w:right="0" w:firstLine="0"/>
        <w:jc w:val="left"/>
        <w:rPr>
          <w:rFonts w:ascii="Lucida Sans Unicode"/>
          <w:sz w:val="22"/>
        </w:rPr>
      </w:pPr>
      <w:bookmarkStart w:name="_bookmark38" w:id="39"/>
      <w:bookmarkEnd w:id="39"/>
      <w:r>
        <w:rPr/>
      </w:r>
      <w:r>
        <w:rPr>
          <w:rFonts w:ascii="Tahoma"/>
          <w:b/>
          <w:sz w:val="22"/>
        </w:rPr>
        <w:t>Gambar</w:t>
      </w:r>
      <w:r>
        <w:rPr>
          <w:rFonts w:ascii="Tahoma"/>
          <w:b/>
          <w:spacing w:val="-15"/>
          <w:sz w:val="22"/>
        </w:rPr>
        <w:t> </w:t>
      </w:r>
      <w:r>
        <w:rPr>
          <w:rFonts w:ascii="Tahoma"/>
          <w:b/>
          <w:sz w:val="22"/>
        </w:rPr>
        <w:t>4. </w:t>
      </w:r>
      <w:r>
        <w:rPr>
          <w:rFonts w:ascii="Lucida Sans Unicode"/>
          <w:sz w:val="22"/>
        </w:rPr>
        <w:t>Cakupan Wilayah</w:t>
      </w:r>
      <w:r>
        <w:rPr>
          <w:rFonts w:ascii="Lucida Sans Unicode"/>
          <w:spacing w:val="-1"/>
          <w:sz w:val="22"/>
        </w:rPr>
        <w:t> </w:t>
      </w:r>
      <w:r>
        <w:rPr>
          <w:rFonts w:ascii="Lucida Sans Unicode"/>
          <w:sz w:val="22"/>
        </w:rPr>
        <w:t>IKN</w:t>
      </w:r>
      <w:r>
        <w:rPr>
          <w:rFonts w:ascii="Lucida Sans Unicode"/>
          <w:spacing w:val="-6"/>
          <w:sz w:val="22"/>
        </w:rPr>
        <w:t> </w:t>
      </w:r>
      <w:r>
        <w:rPr>
          <w:rFonts w:ascii="Lucida Sans Unicode"/>
          <w:sz w:val="22"/>
        </w:rPr>
        <w:t>Menurut</w:t>
      </w:r>
      <w:r>
        <w:rPr>
          <w:rFonts w:ascii="Lucida Sans Unicode"/>
          <w:spacing w:val="-9"/>
          <w:sz w:val="22"/>
        </w:rPr>
        <w:t> </w:t>
      </w:r>
      <w:r>
        <w:rPr>
          <w:rFonts w:ascii="Lucida Sans Unicode"/>
          <w:sz w:val="22"/>
        </w:rPr>
        <w:t>UU</w:t>
      </w:r>
      <w:r>
        <w:rPr>
          <w:rFonts w:ascii="Lucida Sans Unicode"/>
          <w:spacing w:val="-10"/>
          <w:sz w:val="22"/>
        </w:rPr>
        <w:t> </w:t>
      </w:r>
      <w:r>
        <w:rPr>
          <w:rFonts w:ascii="Lucida Sans Unicode"/>
          <w:sz w:val="22"/>
        </w:rPr>
        <w:t>Nomor</w:t>
      </w:r>
      <w:r>
        <w:rPr>
          <w:rFonts w:ascii="Lucida Sans Unicode"/>
          <w:spacing w:val="-3"/>
          <w:sz w:val="22"/>
        </w:rPr>
        <w:t> </w:t>
      </w:r>
      <w:r>
        <w:rPr>
          <w:rFonts w:ascii="Lucida Sans Unicode"/>
          <w:sz w:val="22"/>
        </w:rPr>
        <w:t>21</w:t>
      </w:r>
      <w:r>
        <w:rPr>
          <w:rFonts w:ascii="Lucida Sans Unicode"/>
          <w:spacing w:val="-3"/>
          <w:sz w:val="22"/>
        </w:rPr>
        <w:t> </w:t>
      </w:r>
      <w:r>
        <w:rPr>
          <w:rFonts w:ascii="Lucida Sans Unicode"/>
          <w:sz w:val="22"/>
        </w:rPr>
        <w:t>Tahun</w:t>
      </w:r>
      <w:r>
        <w:rPr>
          <w:rFonts w:ascii="Lucida Sans Unicode"/>
          <w:spacing w:val="3"/>
          <w:sz w:val="22"/>
        </w:rPr>
        <w:t> </w:t>
      </w:r>
      <w:r>
        <w:rPr>
          <w:rFonts w:ascii="Lucida Sans Unicode"/>
          <w:spacing w:val="-4"/>
          <w:sz w:val="22"/>
        </w:rPr>
        <w:t>2023</w:t>
      </w:r>
    </w:p>
    <w:p>
      <w:pPr>
        <w:pStyle w:val="BodyText"/>
        <w:spacing w:before="181"/>
        <w:ind w:left="1978"/>
        <w:jc w:val="left"/>
      </w:pPr>
      <w:r>
        <w:rPr>
          <w:i/>
        </w:rPr>
        <w:t>Sumber</w:t>
      </w:r>
      <w:r>
        <w:rPr/>
        <w:t>:</w:t>
      </w:r>
      <w:r>
        <w:rPr>
          <w:spacing w:val="-8"/>
        </w:rPr>
        <w:t> </w:t>
      </w:r>
      <w:r>
        <w:rPr/>
        <w:t>Direktorat</w:t>
      </w:r>
      <w:r>
        <w:rPr>
          <w:spacing w:val="-5"/>
        </w:rPr>
        <w:t> </w:t>
      </w:r>
      <w:r>
        <w:rPr/>
        <w:t>Tata</w:t>
      </w:r>
      <w:r>
        <w:rPr>
          <w:spacing w:val="-7"/>
        </w:rPr>
        <w:t> </w:t>
      </w:r>
      <w:r>
        <w:rPr/>
        <w:t>Ruang</w:t>
      </w:r>
      <w:r>
        <w:rPr>
          <w:spacing w:val="-8"/>
        </w:rPr>
        <w:t> </w:t>
      </w:r>
      <w:r>
        <w:rPr/>
        <w:t>Kementerian</w:t>
      </w:r>
      <w:r>
        <w:rPr>
          <w:spacing w:val="-6"/>
        </w:rPr>
        <w:t> </w:t>
      </w:r>
      <w:r>
        <w:rPr/>
        <w:t>ATR/BPN,</w:t>
      </w:r>
      <w:r>
        <w:rPr>
          <w:spacing w:val="-4"/>
        </w:rPr>
        <w:t> </w:t>
      </w:r>
      <w:r>
        <w:rPr>
          <w:spacing w:val="-2"/>
        </w:rPr>
        <w:t>2023.</w:t>
      </w:r>
    </w:p>
    <w:p>
      <w:pPr>
        <w:pStyle w:val="BodyText"/>
        <w:spacing w:before="164"/>
        <w:jc w:val="left"/>
      </w:pPr>
    </w:p>
    <w:p>
      <w:pPr>
        <w:pStyle w:val="BodyText"/>
        <w:spacing w:line="360" w:lineRule="auto"/>
        <w:ind w:left="993" w:right="699" w:firstLine="710"/>
      </w:pPr>
      <w:r>
        <w:rPr/>
        <w:t>Adapun</w:t>
      </w:r>
      <w:r>
        <w:rPr>
          <w:spacing w:val="-5"/>
        </w:rPr>
        <w:t> </w:t>
      </w:r>
      <w:r>
        <w:rPr/>
        <w:t>peta</w:t>
      </w:r>
      <w:r>
        <w:rPr>
          <w:spacing w:val="-5"/>
        </w:rPr>
        <w:t> </w:t>
      </w:r>
      <w:r>
        <w:rPr/>
        <w:t>wilayah</w:t>
      </w:r>
      <w:r>
        <w:rPr>
          <w:spacing w:val="-5"/>
        </w:rPr>
        <w:t> </w:t>
      </w:r>
      <w:r>
        <w:rPr/>
        <w:t>Kabupaten</w:t>
      </w:r>
      <w:r>
        <w:rPr>
          <w:spacing w:val="-5"/>
        </w:rPr>
        <w:t> </w:t>
      </w:r>
      <w:r>
        <w:rPr/>
        <w:t>Kutai</w:t>
      </w:r>
      <w:r>
        <w:rPr>
          <w:spacing w:val="-4"/>
        </w:rPr>
        <w:t> </w:t>
      </w:r>
      <w:r>
        <w:rPr/>
        <w:t>Kartanegara</w:t>
      </w:r>
      <w:r>
        <w:rPr>
          <w:spacing w:val="-5"/>
        </w:rPr>
        <w:t> </w:t>
      </w:r>
      <w:r>
        <w:rPr/>
        <w:t>yang</w:t>
      </w:r>
      <w:r>
        <w:rPr>
          <w:spacing w:val="-5"/>
        </w:rPr>
        <w:t> </w:t>
      </w:r>
      <w:r>
        <w:rPr/>
        <w:t>diambil oleh</w:t>
      </w:r>
      <w:r>
        <w:rPr>
          <w:spacing w:val="-10"/>
        </w:rPr>
        <w:t> </w:t>
      </w:r>
      <w:r>
        <w:rPr/>
        <w:t>IKN</w:t>
      </w:r>
      <w:r>
        <w:rPr>
          <w:spacing w:val="-11"/>
        </w:rPr>
        <w:t> </w:t>
      </w:r>
      <w:r>
        <w:rPr/>
        <w:t>menurut</w:t>
      </w:r>
      <w:r>
        <w:rPr>
          <w:spacing w:val="-9"/>
        </w:rPr>
        <w:t> </w:t>
      </w:r>
      <w:r>
        <w:rPr/>
        <w:t>UU</w:t>
      </w:r>
      <w:r>
        <w:rPr>
          <w:spacing w:val="-15"/>
        </w:rPr>
        <w:t> </w:t>
      </w:r>
      <w:r>
        <w:rPr/>
        <w:t>Nomor</w:t>
      </w:r>
      <w:r>
        <w:rPr>
          <w:spacing w:val="-10"/>
        </w:rPr>
        <w:t> </w:t>
      </w:r>
      <w:r>
        <w:rPr/>
        <w:t>21</w:t>
      </w:r>
      <w:r>
        <w:rPr>
          <w:spacing w:val="-13"/>
        </w:rPr>
        <w:t> </w:t>
      </w:r>
      <w:r>
        <w:rPr/>
        <w:t>Tahun</w:t>
      </w:r>
      <w:r>
        <w:rPr>
          <w:spacing w:val="-10"/>
        </w:rPr>
        <w:t> </w:t>
      </w:r>
      <w:r>
        <w:rPr/>
        <w:t>2023</w:t>
      </w:r>
      <w:r>
        <w:rPr>
          <w:spacing w:val="-9"/>
        </w:rPr>
        <w:t> </w:t>
      </w:r>
      <w:r>
        <w:rPr/>
        <w:t>sebagaimana</w:t>
      </w:r>
      <w:r>
        <w:rPr>
          <w:spacing w:val="-10"/>
        </w:rPr>
        <w:t> </w:t>
      </w:r>
      <w:r>
        <w:rPr/>
        <w:t>terlihat</w:t>
      </w:r>
      <w:r>
        <w:rPr>
          <w:spacing w:val="-9"/>
        </w:rPr>
        <w:t> </w:t>
      </w:r>
      <w:r>
        <w:rPr/>
        <w:t>pada Gambar 5. Hingga saat ini belum ada penetapan secara hukum mengenai wilayah administratif Kabupaten Kutai Kartanegara pasca ditetapkannya UU Nomor 3 Tahun 2022 maupun UU Nomor 21 Tahun </w:t>
      </w:r>
      <w:r>
        <w:rPr>
          <w:spacing w:val="-2"/>
        </w:rPr>
        <w:t>2023.</w:t>
      </w:r>
    </w:p>
    <w:p>
      <w:pPr>
        <w:pStyle w:val="BodyText"/>
        <w:spacing w:after="0" w:line="360" w:lineRule="auto"/>
        <w:sectPr>
          <w:pgSz w:w="11910" w:h="16840"/>
          <w:pgMar w:header="0" w:footer="1186" w:top="1660" w:bottom="1380" w:left="1700" w:right="992"/>
        </w:sectPr>
      </w:pPr>
    </w:p>
    <w:p>
      <w:pPr>
        <w:pStyle w:val="BodyText"/>
        <w:ind w:left="722"/>
        <w:jc w:val="left"/>
        <w:rPr>
          <w:sz w:val="20"/>
        </w:rPr>
      </w:pPr>
      <w:r>
        <w:rPr>
          <w:sz w:val="20"/>
        </w:rPr>
        <mc:AlternateContent>
          <mc:Choice Requires="wps">
            <w:drawing>
              <wp:inline distT="0" distB="0" distL="0" distR="0">
                <wp:extent cx="4854575" cy="3328670"/>
                <wp:effectExtent l="0" t="0" r="0" b="5079"/>
                <wp:docPr id="8" name="Group 8"/>
                <wp:cNvGraphicFramePr>
                  <a:graphicFrameLocks/>
                </wp:cNvGraphicFramePr>
                <a:graphic>
                  <a:graphicData uri="http://schemas.microsoft.com/office/word/2010/wordprocessingGroup">
                    <wpg:wgp>
                      <wpg:cNvPr id="8" name="Group 8"/>
                      <wpg:cNvGrpSpPr/>
                      <wpg:grpSpPr>
                        <a:xfrm>
                          <a:off x="0" y="0"/>
                          <a:ext cx="4854575" cy="3328670"/>
                          <a:chExt cx="4854575" cy="3328670"/>
                        </a:xfrm>
                      </wpg:grpSpPr>
                      <pic:pic>
                        <pic:nvPicPr>
                          <pic:cNvPr id="9" name="Image 9"/>
                          <pic:cNvPicPr/>
                        </pic:nvPicPr>
                        <pic:blipFill>
                          <a:blip r:embed="rId12" cstate="print"/>
                          <a:stretch>
                            <a:fillRect/>
                          </a:stretch>
                        </pic:blipFill>
                        <pic:spPr>
                          <a:xfrm>
                            <a:off x="0" y="0"/>
                            <a:ext cx="3506470" cy="3328670"/>
                          </a:xfrm>
                          <a:prstGeom prst="rect">
                            <a:avLst/>
                          </a:prstGeom>
                        </pic:spPr>
                      </pic:pic>
                      <pic:pic>
                        <pic:nvPicPr>
                          <pic:cNvPr id="10" name="Image 10"/>
                          <pic:cNvPicPr/>
                        </pic:nvPicPr>
                        <pic:blipFill>
                          <a:blip r:embed="rId13" cstate="print"/>
                          <a:stretch>
                            <a:fillRect/>
                          </a:stretch>
                        </pic:blipFill>
                        <pic:spPr>
                          <a:xfrm>
                            <a:off x="3512184" y="2058035"/>
                            <a:ext cx="1342389" cy="1270634"/>
                          </a:xfrm>
                          <a:prstGeom prst="rect">
                            <a:avLst/>
                          </a:prstGeom>
                        </pic:spPr>
                      </pic:pic>
                    </wpg:wgp>
                  </a:graphicData>
                </a:graphic>
              </wp:inline>
            </w:drawing>
          </mc:Choice>
          <mc:Fallback>
            <w:pict>
              <v:group style="width:382.25pt;height:262.1pt;mso-position-horizontal-relative:char;mso-position-vertical-relative:line" id="docshapegroup3" coordorigin="0,0" coordsize="7645,5242">
                <v:shape style="position:absolute;left:0;top:0;width:5522;height:5242" type="#_x0000_t75" id="docshape4" stroked="false">
                  <v:imagedata r:id="rId12" o:title=""/>
                </v:shape>
                <v:shape style="position:absolute;left:5531;top:3241;width:2114;height:2001" type="#_x0000_t75" id="docshape5" stroked="false">
                  <v:imagedata r:id="rId13" o:title=""/>
                </v:shape>
              </v:group>
            </w:pict>
          </mc:Fallback>
        </mc:AlternateContent>
      </w:r>
      <w:r>
        <w:rPr>
          <w:sz w:val="20"/>
        </w:rPr>
      </w:r>
    </w:p>
    <w:p>
      <w:pPr>
        <w:spacing w:line="235" w:lineRule="auto" w:before="16"/>
        <w:ind w:left="2828" w:right="720" w:hanging="1998"/>
        <w:jc w:val="left"/>
        <w:rPr>
          <w:rFonts w:ascii="Lucida Sans Unicode"/>
          <w:sz w:val="22"/>
        </w:rPr>
      </w:pPr>
      <w:bookmarkStart w:name="_bookmark39" w:id="40"/>
      <w:bookmarkEnd w:id="40"/>
      <w:r>
        <w:rPr/>
      </w:r>
      <w:r>
        <w:rPr>
          <w:rFonts w:ascii="Tahoma"/>
          <w:b/>
          <w:sz w:val="22"/>
        </w:rPr>
        <w:t>Gambar 5. </w:t>
      </w:r>
      <w:r>
        <w:rPr>
          <w:rFonts w:ascii="Lucida Sans Unicode"/>
          <w:sz w:val="22"/>
        </w:rPr>
        <w:t>Wilayah Kabupaten Kutai Kartanegara yang Diambil IKN</w:t>
      </w:r>
      <w:r>
        <w:rPr>
          <w:rFonts w:ascii="Lucida Sans Unicode"/>
          <w:spacing w:val="40"/>
          <w:sz w:val="22"/>
        </w:rPr>
        <w:t> </w:t>
      </w:r>
      <w:r>
        <w:rPr>
          <w:rFonts w:ascii="Lucida Sans Unicode"/>
          <w:sz w:val="22"/>
        </w:rPr>
        <w:t>Pasca UU Nomor 21 Tahun 2023</w:t>
      </w:r>
    </w:p>
    <w:p>
      <w:pPr>
        <w:pStyle w:val="BodyText"/>
        <w:spacing w:before="179"/>
        <w:ind w:left="566"/>
        <w:jc w:val="left"/>
      </w:pPr>
      <w:r>
        <w:rPr>
          <w:i/>
        </w:rPr>
        <w:t>Sumber</w:t>
      </w:r>
      <w:r>
        <w:rPr/>
        <w:t>:</w:t>
      </w:r>
      <w:r>
        <w:rPr>
          <w:spacing w:val="-8"/>
        </w:rPr>
        <w:t> </w:t>
      </w:r>
      <w:r>
        <w:rPr/>
        <w:t>Direktorat</w:t>
      </w:r>
      <w:r>
        <w:rPr>
          <w:spacing w:val="-6"/>
        </w:rPr>
        <w:t> </w:t>
      </w:r>
      <w:r>
        <w:rPr/>
        <w:t>Tata</w:t>
      </w:r>
      <w:r>
        <w:rPr>
          <w:spacing w:val="-7"/>
        </w:rPr>
        <w:t> </w:t>
      </w:r>
      <w:r>
        <w:rPr/>
        <w:t>Ruang</w:t>
      </w:r>
      <w:r>
        <w:rPr>
          <w:spacing w:val="-8"/>
        </w:rPr>
        <w:t> </w:t>
      </w:r>
      <w:r>
        <w:rPr/>
        <w:t>Kementerian</w:t>
      </w:r>
      <w:r>
        <w:rPr>
          <w:spacing w:val="-6"/>
        </w:rPr>
        <w:t> </w:t>
      </w:r>
      <w:r>
        <w:rPr/>
        <w:t>ATR/BPN,</w:t>
      </w:r>
      <w:r>
        <w:rPr>
          <w:spacing w:val="-4"/>
        </w:rPr>
        <w:t> </w:t>
      </w:r>
      <w:r>
        <w:rPr>
          <w:spacing w:val="-2"/>
        </w:rPr>
        <w:t>2023.</w:t>
      </w:r>
    </w:p>
    <w:p>
      <w:pPr>
        <w:pStyle w:val="BodyText"/>
        <w:spacing w:before="4"/>
        <w:jc w:val="left"/>
      </w:pPr>
    </w:p>
    <w:p>
      <w:pPr>
        <w:pStyle w:val="BodyText"/>
        <w:spacing w:line="360" w:lineRule="auto" w:before="1"/>
        <w:ind w:left="993" w:right="701" w:firstLine="710"/>
      </w:pPr>
      <w:r>
        <w:rPr/>
        <w:t>Luas 6 (enam) kecamatan di wilayah Kabupaten Kutai Kartanegara yang diambil menjadi wilayah IKN berkurang 0,04% dari semula 163.549 ha menjadi 162.597,8 ha. Pengurangan terjadi di wilayah Kecamatan Sanga-Sanga yang awalnya diambil 142,4 ha turun menjadi 89,1 ha. Lebih lanjut terkait luas wilayah Kabupaten Kutai Kartanegara yang menjadi wilayah IKN dapat dilihat pada Tabel 6.</w:t>
      </w:r>
    </w:p>
    <w:p>
      <w:pPr>
        <w:pStyle w:val="BodyText"/>
        <w:spacing w:after="0" w:line="360" w:lineRule="auto"/>
        <w:sectPr>
          <w:pgSz w:w="11910" w:h="16840"/>
          <w:pgMar w:header="0" w:footer="1186" w:top="1660" w:bottom="1380" w:left="1700" w:right="992"/>
        </w:sectPr>
      </w:pPr>
    </w:p>
    <w:p>
      <w:pPr>
        <w:spacing w:line="235" w:lineRule="auto" w:before="60"/>
        <w:ind w:left="3894" w:right="600" w:hanging="2992"/>
        <w:jc w:val="left"/>
        <w:rPr>
          <w:rFonts w:ascii="Lucida Sans Unicode"/>
          <w:sz w:val="22"/>
        </w:rPr>
      </w:pPr>
      <w:bookmarkStart w:name="_bookmark40" w:id="41"/>
      <w:bookmarkEnd w:id="41"/>
      <w:r>
        <w:rPr/>
      </w:r>
      <w:r>
        <w:rPr>
          <w:rFonts w:ascii="Tahoma"/>
          <w:b/>
          <w:w w:val="105"/>
          <w:sz w:val="22"/>
        </w:rPr>
        <w:t>Tabel</w:t>
      </w:r>
      <w:r>
        <w:rPr>
          <w:rFonts w:ascii="Tahoma"/>
          <w:b/>
          <w:spacing w:val="-17"/>
          <w:w w:val="105"/>
          <w:sz w:val="22"/>
        </w:rPr>
        <w:t> </w:t>
      </w:r>
      <w:r>
        <w:rPr>
          <w:rFonts w:ascii="Tahoma"/>
          <w:b/>
          <w:w w:val="105"/>
          <w:sz w:val="22"/>
        </w:rPr>
        <w:t>6.</w:t>
      </w:r>
      <w:r>
        <w:rPr>
          <w:rFonts w:ascii="Tahoma"/>
          <w:b/>
          <w:spacing w:val="-17"/>
          <w:w w:val="105"/>
          <w:sz w:val="22"/>
        </w:rPr>
        <w:t> </w:t>
      </w:r>
      <w:r>
        <w:rPr>
          <w:rFonts w:ascii="Lucida Sans Unicode"/>
          <w:w w:val="105"/>
          <w:sz w:val="22"/>
        </w:rPr>
        <w:t>Luas</w:t>
      </w:r>
      <w:r>
        <w:rPr>
          <w:rFonts w:ascii="Lucida Sans Unicode"/>
          <w:spacing w:val="-18"/>
          <w:w w:val="105"/>
          <w:sz w:val="22"/>
        </w:rPr>
        <w:t> </w:t>
      </w:r>
      <w:r>
        <w:rPr>
          <w:rFonts w:ascii="Lucida Sans Unicode"/>
          <w:w w:val="105"/>
          <w:sz w:val="22"/>
        </w:rPr>
        <w:t>Wilayah</w:t>
      </w:r>
      <w:r>
        <w:rPr>
          <w:rFonts w:ascii="Lucida Sans Unicode"/>
          <w:spacing w:val="-10"/>
          <w:w w:val="105"/>
          <w:sz w:val="22"/>
        </w:rPr>
        <w:t> </w:t>
      </w:r>
      <w:r>
        <w:rPr>
          <w:rFonts w:ascii="Lucida Sans Unicode"/>
          <w:w w:val="105"/>
          <w:sz w:val="22"/>
        </w:rPr>
        <w:t>Kabupaten</w:t>
      </w:r>
      <w:r>
        <w:rPr>
          <w:rFonts w:ascii="Lucida Sans Unicode"/>
          <w:spacing w:val="-15"/>
          <w:w w:val="105"/>
          <w:sz w:val="22"/>
        </w:rPr>
        <w:t> </w:t>
      </w:r>
      <w:r>
        <w:rPr>
          <w:rFonts w:ascii="Lucida Sans Unicode"/>
          <w:w w:val="105"/>
          <w:sz w:val="22"/>
        </w:rPr>
        <w:t>Kutai</w:t>
      </w:r>
      <w:r>
        <w:rPr>
          <w:rFonts w:ascii="Lucida Sans Unicode"/>
          <w:spacing w:val="-11"/>
          <w:w w:val="105"/>
          <w:sz w:val="22"/>
        </w:rPr>
        <w:t> </w:t>
      </w:r>
      <w:r>
        <w:rPr>
          <w:rFonts w:ascii="Lucida Sans Unicode"/>
          <w:w w:val="105"/>
          <w:sz w:val="22"/>
        </w:rPr>
        <w:t>Kartanegara</w:t>
      </w:r>
      <w:r>
        <w:rPr>
          <w:rFonts w:ascii="Lucida Sans Unicode"/>
          <w:spacing w:val="-13"/>
          <w:w w:val="105"/>
          <w:sz w:val="22"/>
        </w:rPr>
        <w:t> </w:t>
      </w:r>
      <w:r>
        <w:rPr>
          <w:rFonts w:ascii="Lucida Sans Unicode"/>
          <w:w w:val="105"/>
          <w:sz w:val="22"/>
        </w:rPr>
        <w:t>yang</w:t>
      </w:r>
      <w:r>
        <w:rPr>
          <w:rFonts w:ascii="Lucida Sans Unicode"/>
          <w:spacing w:val="-15"/>
          <w:w w:val="105"/>
          <w:sz w:val="22"/>
        </w:rPr>
        <w:t> </w:t>
      </w:r>
      <w:r>
        <w:rPr>
          <w:rFonts w:ascii="Lucida Sans Unicode"/>
          <w:w w:val="105"/>
          <w:sz w:val="22"/>
        </w:rPr>
        <w:t>Menjadi Wilayah IKN</w:t>
      </w:r>
    </w:p>
    <w:p>
      <w:pPr>
        <w:pStyle w:val="BodyText"/>
        <w:spacing w:before="14"/>
        <w:jc w:val="left"/>
        <w:rPr>
          <w:rFonts w:ascii="Lucida Sans Unicode"/>
          <w:sz w:val="11"/>
        </w:rPr>
      </w:pPr>
    </w:p>
    <w:tbl>
      <w:tblPr>
        <w:tblW w:w="0" w:type="auto"/>
        <w:jc w:val="left"/>
        <w:tblInd w:w="590" w:type="dxa"/>
        <w:tblBorders>
          <w:top w:val="single" w:sz="4" w:space="0" w:color="4F81BB"/>
          <w:left w:val="single" w:sz="4" w:space="0" w:color="4F81BB"/>
          <w:bottom w:val="single" w:sz="4" w:space="0" w:color="4F81BB"/>
          <w:right w:val="single" w:sz="4" w:space="0" w:color="4F81BB"/>
          <w:insideH w:val="single" w:sz="4" w:space="0" w:color="4F81BB"/>
          <w:insideV w:val="single" w:sz="4" w:space="0" w:color="4F81BB"/>
        </w:tblBorders>
        <w:tblLayout w:type="fixed"/>
        <w:tblCellMar>
          <w:top w:w="0" w:type="dxa"/>
          <w:left w:w="0" w:type="dxa"/>
          <w:bottom w:w="0" w:type="dxa"/>
          <w:right w:w="0" w:type="dxa"/>
        </w:tblCellMar>
        <w:tblLook w:val="01E0"/>
      </w:tblPr>
      <w:tblGrid>
        <w:gridCol w:w="2641"/>
        <w:gridCol w:w="2641"/>
        <w:gridCol w:w="2646"/>
      </w:tblGrid>
      <w:tr>
        <w:trPr>
          <w:trHeight w:val="1277" w:hRule="atLeast"/>
        </w:trPr>
        <w:tc>
          <w:tcPr>
            <w:tcW w:w="7928" w:type="dxa"/>
            <w:gridSpan w:val="3"/>
            <w:shd w:val="clear" w:color="auto" w:fill="00AEEE"/>
          </w:tcPr>
          <w:p>
            <w:pPr>
              <w:pStyle w:val="TableParagraph"/>
              <w:tabs>
                <w:tab w:pos="2755" w:val="left" w:leader="none"/>
                <w:tab w:pos="5391" w:val="left" w:leader="none"/>
              </w:tabs>
              <w:spacing w:line="315" w:lineRule="exact"/>
              <w:ind w:left="110"/>
              <w:rPr>
                <w:b/>
                <w:sz w:val="24"/>
              </w:rPr>
            </w:pPr>
            <w:r>
              <w:rPr>
                <w:b/>
                <w:color w:val="FFFFFF"/>
                <w:sz w:val="24"/>
              </w:rPr>
              <w:t>Nama </w:t>
            </w:r>
            <w:r>
              <w:rPr>
                <w:b/>
                <w:color w:val="FFFFFF"/>
                <w:spacing w:val="-2"/>
                <w:sz w:val="24"/>
              </w:rPr>
              <w:t>Kecamatan</w:t>
            </w:r>
            <w:r>
              <w:rPr>
                <w:b/>
                <w:color w:val="FFFFFF"/>
                <w:sz w:val="24"/>
              </w:rPr>
              <w:tab/>
              <w:t>Luas </w:t>
            </w:r>
            <w:r>
              <w:rPr>
                <w:b/>
                <w:color w:val="FFFFFF"/>
                <w:spacing w:val="-2"/>
                <w:sz w:val="24"/>
              </w:rPr>
              <w:t>Kecamatan</w:t>
            </w:r>
            <w:r>
              <w:rPr>
                <w:b/>
                <w:color w:val="FFFFFF"/>
                <w:sz w:val="24"/>
              </w:rPr>
              <w:tab/>
              <w:t>Luas</w:t>
            </w:r>
            <w:r>
              <w:rPr>
                <w:b/>
                <w:color w:val="FFFFFF"/>
                <w:spacing w:val="-2"/>
                <w:sz w:val="24"/>
              </w:rPr>
              <w:t> Kecamatan</w:t>
            </w:r>
          </w:p>
          <w:p>
            <w:pPr>
              <w:pStyle w:val="TableParagraph"/>
              <w:tabs>
                <w:tab w:pos="5391" w:val="left" w:leader="none"/>
              </w:tabs>
              <w:spacing w:before="2"/>
              <w:ind w:left="2756"/>
              <w:rPr>
                <w:b/>
                <w:sz w:val="24"/>
              </w:rPr>
            </w:pPr>
            <w:r>
              <w:rPr>
                <w:b/>
                <w:color w:val="FFFFFF"/>
                <w:sz w:val="24"/>
              </w:rPr>
              <w:t>Terhadap</w:t>
            </w:r>
            <w:r>
              <w:rPr>
                <w:b/>
                <w:color w:val="FFFFFF"/>
                <w:spacing w:val="-7"/>
                <w:sz w:val="24"/>
              </w:rPr>
              <w:t> </w:t>
            </w:r>
            <w:r>
              <w:rPr>
                <w:b/>
                <w:color w:val="FFFFFF"/>
                <w:spacing w:val="-2"/>
                <w:sz w:val="24"/>
              </w:rPr>
              <w:t>Delineasi</w:t>
            </w:r>
            <w:r>
              <w:rPr>
                <w:b/>
                <w:color w:val="FFFFFF"/>
                <w:sz w:val="24"/>
              </w:rPr>
              <w:tab/>
              <w:t>Terhadap</w:t>
            </w:r>
            <w:r>
              <w:rPr>
                <w:b/>
                <w:color w:val="FFFFFF"/>
                <w:spacing w:val="-7"/>
                <w:sz w:val="24"/>
              </w:rPr>
              <w:t> </w:t>
            </w:r>
            <w:r>
              <w:rPr>
                <w:b/>
                <w:color w:val="FFFFFF"/>
                <w:spacing w:val="-2"/>
                <w:sz w:val="24"/>
              </w:rPr>
              <w:t>Delineasi</w:t>
            </w:r>
          </w:p>
          <w:p>
            <w:pPr>
              <w:pStyle w:val="TableParagraph"/>
              <w:tabs>
                <w:tab w:pos="5391" w:val="left" w:leader="none"/>
              </w:tabs>
              <w:spacing w:line="316" w:lineRule="exact"/>
              <w:ind w:left="2756" w:right="412"/>
              <w:rPr>
                <w:b/>
                <w:sz w:val="24"/>
              </w:rPr>
            </w:pPr>
            <w:r>
              <w:rPr>
                <w:b/>
                <w:color w:val="FFFFFF"/>
                <w:sz w:val="24"/>
              </w:rPr>
              <w:t>IKN (dalam ha)</w:t>
              <w:tab/>
              <w:t>IKN</w:t>
            </w:r>
            <w:r>
              <w:rPr>
                <w:b/>
                <w:color w:val="FFFFFF"/>
                <w:spacing w:val="-12"/>
                <w:sz w:val="24"/>
              </w:rPr>
              <w:t> </w:t>
            </w:r>
            <w:r>
              <w:rPr>
                <w:b/>
                <w:color w:val="FFFFFF"/>
                <w:sz w:val="24"/>
              </w:rPr>
              <w:t>(dalam</w:t>
            </w:r>
            <w:r>
              <w:rPr>
                <w:b/>
                <w:color w:val="FFFFFF"/>
                <w:spacing w:val="-13"/>
                <w:sz w:val="24"/>
              </w:rPr>
              <w:t> </w:t>
            </w:r>
            <w:r>
              <w:rPr>
                <w:b/>
                <w:color w:val="FFFFFF"/>
                <w:sz w:val="24"/>
              </w:rPr>
              <w:t>ha)</w:t>
            </w:r>
            <w:r>
              <w:rPr>
                <w:b/>
                <w:color w:val="FFFFFF"/>
                <w:spacing w:val="-15"/>
                <w:sz w:val="24"/>
              </w:rPr>
              <w:t> </w:t>
            </w:r>
            <w:r>
              <w:rPr>
                <w:b/>
                <w:color w:val="FFFFFF"/>
                <w:sz w:val="24"/>
              </w:rPr>
              <w:t>UU </w:t>
            </w:r>
            <w:r>
              <w:rPr>
                <w:b/>
                <w:color w:val="FFFFFF"/>
                <w:position w:val="2"/>
                <w:sz w:val="24"/>
              </w:rPr>
              <w:t>UU 3/2022</w:t>
              <w:tab/>
            </w:r>
            <w:r>
              <w:rPr>
                <w:b/>
                <w:color w:val="FFFFFF"/>
                <w:spacing w:val="-2"/>
                <w:sz w:val="24"/>
              </w:rPr>
              <w:t>21/2023</w:t>
            </w:r>
          </w:p>
        </w:tc>
      </w:tr>
      <w:tr>
        <w:trPr>
          <w:trHeight w:val="316" w:hRule="atLeast"/>
        </w:trPr>
        <w:tc>
          <w:tcPr>
            <w:tcW w:w="2641" w:type="dxa"/>
            <w:tcBorders>
              <w:left w:val="single" w:sz="4" w:space="0" w:color="93B3D5"/>
              <w:bottom w:val="single" w:sz="4" w:space="0" w:color="93B3D5"/>
              <w:right w:val="single" w:sz="4" w:space="0" w:color="93B3D5"/>
            </w:tcBorders>
            <w:shd w:val="clear" w:color="auto" w:fill="DBE3EF"/>
          </w:tcPr>
          <w:p>
            <w:pPr>
              <w:pStyle w:val="TableParagraph"/>
              <w:spacing w:line="296" w:lineRule="exact"/>
              <w:ind w:left="110"/>
              <w:rPr>
                <w:b/>
                <w:sz w:val="24"/>
              </w:rPr>
            </w:pPr>
            <w:r>
              <w:rPr>
                <w:b/>
                <w:sz w:val="24"/>
              </w:rPr>
              <w:t>Loa</w:t>
            </w:r>
            <w:r>
              <w:rPr>
                <w:b/>
                <w:spacing w:val="-2"/>
                <w:sz w:val="24"/>
              </w:rPr>
              <w:t> </w:t>
            </w:r>
            <w:r>
              <w:rPr>
                <w:b/>
                <w:spacing w:val="-4"/>
                <w:sz w:val="24"/>
              </w:rPr>
              <w:t>Kulu</w:t>
            </w:r>
          </w:p>
        </w:tc>
        <w:tc>
          <w:tcPr>
            <w:tcW w:w="2641" w:type="dxa"/>
            <w:tcBorders>
              <w:left w:val="single" w:sz="4" w:space="0" w:color="93B3D5"/>
              <w:bottom w:val="single" w:sz="4" w:space="0" w:color="93B3D5"/>
              <w:right w:val="single" w:sz="4" w:space="0" w:color="93B3D5"/>
            </w:tcBorders>
            <w:shd w:val="clear" w:color="auto" w:fill="DBE3EF"/>
          </w:tcPr>
          <w:p>
            <w:pPr>
              <w:pStyle w:val="TableParagraph"/>
              <w:spacing w:line="296" w:lineRule="exact"/>
              <w:ind w:left="110"/>
              <w:rPr>
                <w:sz w:val="24"/>
              </w:rPr>
            </w:pPr>
            <w:r>
              <w:rPr>
                <w:spacing w:val="-2"/>
                <w:sz w:val="24"/>
              </w:rPr>
              <w:t>25.097,8</w:t>
            </w:r>
          </w:p>
        </w:tc>
        <w:tc>
          <w:tcPr>
            <w:tcW w:w="2646" w:type="dxa"/>
            <w:tcBorders>
              <w:left w:val="single" w:sz="4" w:space="0" w:color="93B3D5"/>
              <w:bottom w:val="single" w:sz="4" w:space="0" w:color="93B3D5"/>
              <w:right w:val="single" w:sz="4" w:space="0" w:color="93B3D5"/>
            </w:tcBorders>
            <w:shd w:val="clear" w:color="auto" w:fill="DBE3EF"/>
          </w:tcPr>
          <w:p>
            <w:pPr>
              <w:pStyle w:val="TableParagraph"/>
              <w:spacing w:line="296" w:lineRule="exact"/>
              <w:ind w:left="114"/>
              <w:rPr>
                <w:sz w:val="24"/>
              </w:rPr>
            </w:pPr>
            <w:r>
              <w:rPr>
                <w:spacing w:val="-2"/>
                <w:sz w:val="24"/>
              </w:rPr>
              <w:t>25.082,7</w:t>
            </w:r>
          </w:p>
        </w:tc>
      </w:tr>
      <w:tr>
        <w:trPr>
          <w:trHeight w:val="321" w:hRule="atLeast"/>
        </w:trPr>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00" w:lineRule="exact"/>
              <w:ind w:left="110"/>
              <w:rPr>
                <w:b/>
                <w:sz w:val="24"/>
              </w:rPr>
            </w:pPr>
            <w:r>
              <w:rPr>
                <w:b/>
                <w:sz w:val="24"/>
              </w:rPr>
              <w:t>Loa </w:t>
            </w:r>
            <w:r>
              <w:rPr>
                <w:b/>
                <w:spacing w:val="-2"/>
                <w:sz w:val="24"/>
              </w:rPr>
              <w:t>Janan</w:t>
            </w:r>
          </w:p>
        </w:tc>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00" w:lineRule="exact"/>
              <w:ind w:left="110"/>
              <w:rPr>
                <w:sz w:val="24"/>
              </w:rPr>
            </w:pPr>
            <w:r>
              <w:rPr>
                <w:spacing w:val="-2"/>
                <w:sz w:val="24"/>
              </w:rPr>
              <w:t>37.177,1</w:t>
            </w:r>
          </w:p>
        </w:tc>
        <w:tc>
          <w:tcPr>
            <w:tcW w:w="2646" w:type="dxa"/>
            <w:tcBorders>
              <w:top w:val="single" w:sz="4" w:space="0" w:color="93B3D5"/>
              <w:left w:val="single" w:sz="4" w:space="0" w:color="93B3D5"/>
              <w:bottom w:val="single" w:sz="4" w:space="0" w:color="93B3D5"/>
              <w:right w:val="single" w:sz="4" w:space="0" w:color="93B3D5"/>
            </w:tcBorders>
          </w:tcPr>
          <w:p>
            <w:pPr>
              <w:pStyle w:val="TableParagraph"/>
              <w:spacing w:line="300" w:lineRule="exact"/>
              <w:ind w:left="114"/>
              <w:rPr>
                <w:sz w:val="24"/>
              </w:rPr>
            </w:pPr>
            <w:r>
              <w:rPr>
                <w:spacing w:val="-2"/>
                <w:sz w:val="24"/>
              </w:rPr>
              <w:t>38.044,8</w:t>
            </w:r>
          </w:p>
        </w:tc>
      </w:tr>
      <w:tr>
        <w:trPr>
          <w:trHeight w:val="316" w:hRule="atLeast"/>
        </w:trPr>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6" w:lineRule="exact"/>
              <w:ind w:left="110"/>
              <w:rPr>
                <w:b/>
                <w:sz w:val="24"/>
              </w:rPr>
            </w:pPr>
            <w:r>
              <w:rPr>
                <w:b/>
                <w:spacing w:val="-2"/>
                <w:sz w:val="24"/>
              </w:rPr>
              <w:t>Samboja</w:t>
            </w:r>
          </w:p>
        </w:tc>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6" w:lineRule="exact"/>
              <w:ind w:left="110"/>
              <w:rPr>
                <w:sz w:val="24"/>
              </w:rPr>
            </w:pPr>
            <w:r>
              <w:rPr>
                <w:spacing w:val="-2"/>
                <w:sz w:val="24"/>
              </w:rPr>
              <w:t>28.187,4</w:t>
            </w:r>
          </w:p>
        </w:tc>
        <w:tc>
          <w:tcPr>
            <w:tcW w:w="2646"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6" w:lineRule="exact"/>
              <w:ind w:left="114"/>
              <w:rPr>
                <w:sz w:val="24"/>
              </w:rPr>
            </w:pPr>
            <w:r>
              <w:rPr>
                <w:spacing w:val="-2"/>
                <w:sz w:val="24"/>
              </w:rPr>
              <w:t>28.106,6</w:t>
            </w:r>
          </w:p>
        </w:tc>
      </w:tr>
      <w:tr>
        <w:trPr>
          <w:trHeight w:val="321" w:hRule="atLeast"/>
        </w:trPr>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00" w:lineRule="exact"/>
              <w:ind w:left="110"/>
              <w:rPr>
                <w:b/>
                <w:sz w:val="24"/>
              </w:rPr>
            </w:pPr>
            <w:r>
              <w:rPr>
                <w:b/>
                <w:sz w:val="24"/>
              </w:rPr>
              <w:t>Muara</w:t>
            </w:r>
            <w:r>
              <w:rPr>
                <w:b/>
                <w:spacing w:val="-2"/>
                <w:sz w:val="24"/>
              </w:rPr>
              <w:t> </w:t>
            </w:r>
            <w:r>
              <w:rPr>
                <w:b/>
                <w:spacing w:val="-4"/>
                <w:sz w:val="24"/>
              </w:rPr>
              <w:t>Jawa</w:t>
            </w:r>
          </w:p>
        </w:tc>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00" w:lineRule="exact"/>
              <w:ind w:left="110"/>
              <w:rPr>
                <w:sz w:val="24"/>
              </w:rPr>
            </w:pPr>
            <w:r>
              <w:rPr>
                <w:spacing w:val="-2"/>
                <w:sz w:val="24"/>
              </w:rPr>
              <w:t>31.442,3</w:t>
            </w:r>
          </w:p>
        </w:tc>
        <w:tc>
          <w:tcPr>
            <w:tcW w:w="2646" w:type="dxa"/>
            <w:tcBorders>
              <w:top w:val="single" w:sz="4" w:space="0" w:color="93B3D5"/>
              <w:left w:val="single" w:sz="4" w:space="0" w:color="93B3D5"/>
              <w:bottom w:val="single" w:sz="4" w:space="0" w:color="93B3D5"/>
              <w:right w:val="single" w:sz="4" w:space="0" w:color="93B3D5"/>
            </w:tcBorders>
          </w:tcPr>
          <w:p>
            <w:pPr>
              <w:pStyle w:val="TableParagraph"/>
              <w:spacing w:line="300" w:lineRule="exact"/>
              <w:ind w:left="114"/>
              <w:rPr>
                <w:sz w:val="24"/>
              </w:rPr>
            </w:pPr>
            <w:r>
              <w:rPr>
                <w:spacing w:val="-2"/>
                <w:sz w:val="24"/>
              </w:rPr>
              <w:t>29.778,7</w:t>
            </w:r>
          </w:p>
        </w:tc>
      </w:tr>
      <w:tr>
        <w:trPr>
          <w:trHeight w:val="316" w:hRule="atLeast"/>
        </w:trPr>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6" w:lineRule="exact"/>
              <w:ind w:left="110"/>
              <w:rPr>
                <w:b/>
                <w:sz w:val="24"/>
              </w:rPr>
            </w:pPr>
            <w:r>
              <w:rPr>
                <w:b/>
                <w:spacing w:val="-2"/>
                <w:sz w:val="24"/>
              </w:rPr>
              <w:t>Sanga-</w:t>
            </w:r>
            <w:r>
              <w:rPr>
                <w:b/>
                <w:spacing w:val="-4"/>
                <w:sz w:val="24"/>
              </w:rPr>
              <w:t>Sanga</w:t>
            </w:r>
          </w:p>
        </w:tc>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6" w:lineRule="exact"/>
              <w:ind w:left="110"/>
              <w:rPr>
                <w:sz w:val="24"/>
              </w:rPr>
            </w:pPr>
            <w:r>
              <w:rPr>
                <w:spacing w:val="-4"/>
                <w:sz w:val="24"/>
              </w:rPr>
              <w:t>142,4</w:t>
            </w:r>
          </w:p>
        </w:tc>
        <w:tc>
          <w:tcPr>
            <w:tcW w:w="2646"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6" w:lineRule="exact"/>
              <w:ind w:left="114"/>
              <w:rPr>
                <w:sz w:val="24"/>
              </w:rPr>
            </w:pPr>
            <w:r>
              <w:rPr>
                <w:spacing w:val="-4"/>
                <w:sz w:val="24"/>
              </w:rPr>
              <w:t>89,1</w:t>
            </w:r>
          </w:p>
        </w:tc>
      </w:tr>
      <w:tr>
        <w:trPr>
          <w:trHeight w:val="321" w:hRule="atLeast"/>
        </w:trPr>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01" w:lineRule="exact"/>
              <w:ind w:left="110"/>
              <w:rPr>
                <w:b/>
                <w:sz w:val="24"/>
              </w:rPr>
            </w:pPr>
            <w:r>
              <w:rPr>
                <w:b/>
                <w:sz w:val="24"/>
              </w:rPr>
              <w:t>Samboja</w:t>
            </w:r>
            <w:r>
              <w:rPr>
                <w:b/>
                <w:spacing w:val="1"/>
                <w:sz w:val="24"/>
              </w:rPr>
              <w:t> </w:t>
            </w:r>
            <w:r>
              <w:rPr>
                <w:b/>
                <w:spacing w:val="-2"/>
                <w:sz w:val="24"/>
              </w:rPr>
              <w:t>Barat</w:t>
            </w:r>
          </w:p>
        </w:tc>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01" w:lineRule="exact"/>
              <w:ind w:left="110"/>
              <w:rPr>
                <w:sz w:val="24"/>
              </w:rPr>
            </w:pPr>
            <w:r>
              <w:rPr>
                <w:spacing w:val="-2"/>
                <w:sz w:val="24"/>
              </w:rPr>
              <w:t>41.502,0</w:t>
            </w:r>
          </w:p>
        </w:tc>
        <w:tc>
          <w:tcPr>
            <w:tcW w:w="2646" w:type="dxa"/>
            <w:tcBorders>
              <w:top w:val="single" w:sz="4" w:space="0" w:color="93B3D5"/>
              <w:left w:val="single" w:sz="4" w:space="0" w:color="93B3D5"/>
              <w:bottom w:val="single" w:sz="4" w:space="0" w:color="93B3D5"/>
              <w:right w:val="single" w:sz="4" w:space="0" w:color="93B3D5"/>
            </w:tcBorders>
          </w:tcPr>
          <w:p>
            <w:pPr>
              <w:pStyle w:val="TableParagraph"/>
              <w:spacing w:line="301" w:lineRule="exact"/>
              <w:ind w:left="114"/>
              <w:rPr>
                <w:sz w:val="24"/>
              </w:rPr>
            </w:pPr>
            <w:r>
              <w:rPr>
                <w:spacing w:val="-2"/>
                <w:sz w:val="24"/>
              </w:rPr>
              <w:t>41.495,9</w:t>
            </w:r>
          </w:p>
        </w:tc>
      </w:tr>
      <w:tr>
        <w:trPr>
          <w:trHeight w:val="317" w:hRule="atLeast"/>
        </w:trPr>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7" w:lineRule="exact"/>
              <w:ind w:left="110"/>
              <w:rPr>
                <w:b/>
                <w:sz w:val="24"/>
              </w:rPr>
            </w:pPr>
            <w:r>
              <w:rPr>
                <w:b/>
                <w:sz w:val="24"/>
              </w:rPr>
              <w:t>Total</w:t>
            </w:r>
            <w:r>
              <w:rPr>
                <w:b/>
                <w:spacing w:val="-3"/>
                <w:sz w:val="24"/>
              </w:rPr>
              <w:t> </w:t>
            </w:r>
            <w:r>
              <w:rPr>
                <w:b/>
                <w:sz w:val="24"/>
              </w:rPr>
              <w:t>Luas 6</w:t>
            </w:r>
            <w:r>
              <w:rPr>
                <w:b/>
                <w:spacing w:val="-4"/>
                <w:sz w:val="24"/>
              </w:rPr>
              <w:t> </w:t>
            </w:r>
            <w:r>
              <w:rPr>
                <w:b/>
                <w:spacing w:val="-5"/>
                <w:sz w:val="24"/>
              </w:rPr>
              <w:t>Kec</w:t>
            </w:r>
          </w:p>
        </w:tc>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7" w:lineRule="exact"/>
              <w:ind w:left="110"/>
              <w:rPr>
                <w:sz w:val="24"/>
              </w:rPr>
            </w:pPr>
            <w:r>
              <w:rPr>
                <w:spacing w:val="-2"/>
                <w:sz w:val="24"/>
              </w:rPr>
              <w:t>163.549,0</w:t>
            </w:r>
          </w:p>
        </w:tc>
        <w:tc>
          <w:tcPr>
            <w:tcW w:w="2646"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297" w:lineRule="exact"/>
              <w:ind w:left="114"/>
              <w:rPr>
                <w:sz w:val="24"/>
              </w:rPr>
            </w:pPr>
            <w:r>
              <w:rPr>
                <w:spacing w:val="-2"/>
                <w:sz w:val="24"/>
              </w:rPr>
              <w:t>162.597,8</w:t>
            </w:r>
          </w:p>
        </w:tc>
      </w:tr>
      <w:tr>
        <w:trPr>
          <w:trHeight w:val="642" w:hRule="atLeast"/>
        </w:trPr>
        <w:tc>
          <w:tcPr>
            <w:tcW w:w="2641" w:type="dxa"/>
            <w:tcBorders>
              <w:top w:val="single" w:sz="4" w:space="0" w:color="93B3D5"/>
              <w:left w:val="single" w:sz="4" w:space="0" w:color="93B3D5"/>
              <w:bottom w:val="single" w:sz="4" w:space="0" w:color="93B3D5"/>
              <w:right w:val="single" w:sz="4" w:space="0" w:color="93B3D5"/>
            </w:tcBorders>
          </w:tcPr>
          <w:p>
            <w:pPr>
              <w:pStyle w:val="TableParagraph"/>
              <w:spacing w:line="322" w:lineRule="exact"/>
              <w:ind w:left="110"/>
              <w:rPr>
                <w:b/>
                <w:sz w:val="24"/>
              </w:rPr>
            </w:pPr>
            <w:r>
              <w:rPr>
                <w:b/>
                <w:sz w:val="24"/>
              </w:rPr>
              <w:t>Luas</w:t>
            </w:r>
            <w:r>
              <w:rPr>
                <w:b/>
                <w:spacing w:val="-17"/>
                <w:sz w:val="24"/>
              </w:rPr>
              <w:t> </w:t>
            </w:r>
            <w:r>
              <w:rPr>
                <w:b/>
                <w:sz w:val="24"/>
              </w:rPr>
              <w:t>Kab.</w:t>
            </w:r>
            <w:r>
              <w:rPr>
                <w:b/>
                <w:spacing w:val="-17"/>
                <w:sz w:val="24"/>
              </w:rPr>
              <w:t> </w:t>
            </w:r>
            <w:r>
              <w:rPr>
                <w:b/>
                <w:sz w:val="24"/>
              </w:rPr>
              <w:t>Kutai </w:t>
            </w:r>
            <w:r>
              <w:rPr>
                <w:b/>
                <w:spacing w:val="-2"/>
                <w:sz w:val="24"/>
              </w:rPr>
              <w:t>Kartanegara</w:t>
            </w:r>
          </w:p>
        </w:tc>
        <w:tc>
          <w:tcPr>
            <w:tcW w:w="5287" w:type="dxa"/>
            <w:gridSpan w:val="2"/>
            <w:tcBorders>
              <w:top w:val="single" w:sz="4" w:space="0" w:color="93B3D5"/>
              <w:left w:val="single" w:sz="4" w:space="0" w:color="93B3D5"/>
              <w:bottom w:val="single" w:sz="4" w:space="0" w:color="93B3D5"/>
              <w:right w:val="single" w:sz="4" w:space="0" w:color="93B3D5"/>
            </w:tcBorders>
          </w:tcPr>
          <w:p>
            <w:pPr>
              <w:pStyle w:val="TableParagraph"/>
              <w:ind w:left="17"/>
              <w:jc w:val="center"/>
              <w:rPr>
                <w:sz w:val="24"/>
              </w:rPr>
            </w:pPr>
            <w:r>
              <w:rPr>
                <w:spacing w:val="-2"/>
                <w:sz w:val="24"/>
              </w:rPr>
              <w:t>2.686.750,8</w:t>
            </w:r>
          </w:p>
        </w:tc>
      </w:tr>
      <w:tr>
        <w:trPr>
          <w:trHeight w:val="1275" w:hRule="atLeast"/>
        </w:trPr>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ind w:left="110" w:right="122"/>
              <w:jc w:val="both"/>
              <w:rPr>
                <w:b/>
                <w:sz w:val="24"/>
              </w:rPr>
            </w:pPr>
            <w:r>
              <w:rPr>
                <w:b/>
                <w:sz w:val="24"/>
              </w:rPr>
              <w:t>Prosentasi</w:t>
            </w:r>
            <w:r>
              <w:rPr>
                <w:b/>
                <w:spacing w:val="-14"/>
                <w:sz w:val="24"/>
              </w:rPr>
              <w:t> </w:t>
            </w:r>
            <w:r>
              <w:rPr>
                <w:b/>
                <w:sz w:val="24"/>
              </w:rPr>
              <w:t>luas</w:t>
            </w:r>
            <w:r>
              <w:rPr>
                <w:b/>
                <w:spacing w:val="-12"/>
                <w:sz w:val="24"/>
              </w:rPr>
              <w:t> </w:t>
            </w:r>
            <w:r>
              <w:rPr>
                <w:b/>
                <w:sz w:val="24"/>
              </w:rPr>
              <w:t>6</w:t>
            </w:r>
            <w:r>
              <w:rPr>
                <w:b/>
                <w:spacing w:val="-12"/>
                <w:sz w:val="24"/>
              </w:rPr>
              <w:t> </w:t>
            </w:r>
            <w:r>
              <w:rPr>
                <w:b/>
                <w:sz w:val="24"/>
              </w:rPr>
              <w:t>kec. Di IKN terhadap luas Kab. Kutai</w:t>
            </w:r>
          </w:p>
          <w:p>
            <w:pPr>
              <w:pStyle w:val="TableParagraph"/>
              <w:spacing w:line="301" w:lineRule="exact"/>
              <w:ind w:left="110"/>
              <w:rPr>
                <w:b/>
                <w:sz w:val="24"/>
              </w:rPr>
            </w:pPr>
            <w:r>
              <w:rPr>
                <w:b/>
                <w:spacing w:val="-2"/>
                <w:sz w:val="24"/>
              </w:rPr>
              <w:t>Kartanegara</w:t>
            </w:r>
          </w:p>
        </w:tc>
        <w:tc>
          <w:tcPr>
            <w:tcW w:w="2641"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313" w:lineRule="exact"/>
              <w:ind w:left="110"/>
              <w:rPr>
                <w:sz w:val="24"/>
              </w:rPr>
            </w:pPr>
            <w:r>
              <w:rPr>
                <w:spacing w:val="-4"/>
                <w:sz w:val="24"/>
              </w:rPr>
              <w:t>6,09%</w:t>
            </w:r>
          </w:p>
        </w:tc>
        <w:tc>
          <w:tcPr>
            <w:tcW w:w="2646" w:type="dxa"/>
            <w:tcBorders>
              <w:top w:val="single" w:sz="4" w:space="0" w:color="93B3D5"/>
              <w:left w:val="single" w:sz="4" w:space="0" w:color="93B3D5"/>
              <w:bottom w:val="single" w:sz="4" w:space="0" w:color="93B3D5"/>
              <w:right w:val="single" w:sz="4" w:space="0" w:color="93B3D5"/>
            </w:tcBorders>
            <w:shd w:val="clear" w:color="auto" w:fill="DBE3EF"/>
          </w:tcPr>
          <w:p>
            <w:pPr>
              <w:pStyle w:val="TableParagraph"/>
              <w:spacing w:line="313" w:lineRule="exact"/>
              <w:ind w:left="114"/>
              <w:rPr>
                <w:sz w:val="24"/>
              </w:rPr>
            </w:pPr>
            <w:r>
              <w:rPr>
                <w:spacing w:val="-4"/>
                <w:sz w:val="24"/>
              </w:rPr>
              <w:t>6,05%</w:t>
            </w:r>
          </w:p>
        </w:tc>
      </w:tr>
    </w:tbl>
    <w:p>
      <w:pPr>
        <w:pStyle w:val="BodyText"/>
        <w:spacing w:before="3"/>
        <w:ind w:left="566"/>
        <w:jc w:val="left"/>
      </w:pPr>
      <w:r>
        <w:rPr>
          <w:i/>
        </w:rPr>
        <w:t>Sumbe</w:t>
      </w:r>
      <w:r>
        <w:rPr/>
        <w:t>r:</w:t>
      </w:r>
      <w:r>
        <w:rPr>
          <w:spacing w:val="-10"/>
        </w:rPr>
        <w:t> </w:t>
      </w:r>
      <w:r>
        <w:rPr/>
        <w:t>Direktorat</w:t>
      </w:r>
      <w:r>
        <w:rPr>
          <w:spacing w:val="-8"/>
        </w:rPr>
        <w:t> </w:t>
      </w:r>
      <w:r>
        <w:rPr/>
        <w:t>Jenderal</w:t>
      </w:r>
      <w:r>
        <w:rPr>
          <w:spacing w:val="-8"/>
        </w:rPr>
        <w:t> </w:t>
      </w:r>
      <w:r>
        <w:rPr/>
        <w:t>Tata</w:t>
      </w:r>
      <w:r>
        <w:rPr>
          <w:spacing w:val="-10"/>
        </w:rPr>
        <w:t> </w:t>
      </w:r>
      <w:r>
        <w:rPr/>
        <w:t>Ruang,</w:t>
      </w:r>
      <w:r>
        <w:rPr>
          <w:spacing w:val="-7"/>
        </w:rPr>
        <w:t> </w:t>
      </w:r>
      <w:r>
        <w:rPr>
          <w:spacing w:val="-2"/>
        </w:rPr>
        <w:t>2023.</w:t>
      </w:r>
    </w:p>
    <w:p>
      <w:pPr>
        <w:pStyle w:val="BodyText"/>
        <w:spacing w:after="0"/>
        <w:jc w:val="left"/>
        <w:sectPr>
          <w:pgSz w:w="11910" w:h="16840"/>
          <w:pgMar w:header="0" w:footer="1186" w:top="1620" w:bottom="1380" w:left="1700" w:right="992"/>
        </w:sectPr>
      </w:pPr>
    </w:p>
    <w:p>
      <w:pPr>
        <w:pStyle w:val="Heading1"/>
        <w:ind w:left="0" w:right="213"/>
        <w:rPr>
          <w:rFonts w:ascii="Segoe UI"/>
        </w:rPr>
      </w:pPr>
      <w:r>
        <w:rPr>
          <w:rFonts w:ascii="Segoe UI"/>
        </w:rPr>
        <w:t>BAB</w:t>
      </w:r>
      <w:r>
        <w:rPr>
          <w:rFonts w:ascii="Segoe UI"/>
          <w:spacing w:val="-13"/>
        </w:rPr>
        <w:t> </w:t>
      </w:r>
      <w:r>
        <w:rPr>
          <w:rFonts w:ascii="Segoe UI"/>
          <w:spacing w:val="-10"/>
        </w:rPr>
        <w:t>V</w:t>
      </w:r>
    </w:p>
    <w:p>
      <w:pPr>
        <w:spacing w:before="184"/>
        <w:ind w:left="1486" w:right="1628" w:firstLine="0"/>
        <w:jc w:val="center"/>
        <w:rPr>
          <w:b/>
          <w:sz w:val="28"/>
        </w:rPr>
      </w:pPr>
      <w:bookmarkStart w:name="_bookmark41" w:id="42"/>
      <w:bookmarkEnd w:id="42"/>
      <w:r>
        <w:rPr/>
      </w:r>
      <w:r>
        <w:rPr>
          <w:b/>
          <w:sz w:val="28"/>
        </w:rPr>
        <w:t>HASIL</w:t>
      </w:r>
      <w:r>
        <w:rPr>
          <w:b/>
          <w:spacing w:val="-12"/>
          <w:sz w:val="28"/>
        </w:rPr>
        <w:t> </w:t>
      </w:r>
      <w:r>
        <w:rPr>
          <w:b/>
          <w:sz w:val="28"/>
        </w:rPr>
        <w:t>DAN</w:t>
      </w:r>
      <w:r>
        <w:rPr>
          <w:b/>
          <w:spacing w:val="-17"/>
          <w:sz w:val="28"/>
        </w:rPr>
        <w:t> </w:t>
      </w:r>
      <w:r>
        <w:rPr>
          <w:b/>
          <w:spacing w:val="-2"/>
          <w:sz w:val="28"/>
        </w:rPr>
        <w:t>PEMBAHASAN</w:t>
      </w:r>
    </w:p>
    <w:p>
      <w:pPr>
        <w:pStyle w:val="BodyText"/>
        <w:spacing w:before="197"/>
        <w:jc w:val="left"/>
        <w:rPr>
          <w:b/>
          <w:sz w:val="28"/>
        </w:rPr>
      </w:pPr>
    </w:p>
    <w:p>
      <w:pPr>
        <w:pStyle w:val="Heading2"/>
        <w:numPr>
          <w:ilvl w:val="1"/>
          <w:numId w:val="32"/>
        </w:numPr>
        <w:tabs>
          <w:tab w:pos="977" w:val="left" w:leader="none"/>
        </w:tabs>
        <w:spacing w:line="240" w:lineRule="auto" w:before="0" w:after="0"/>
        <w:ind w:left="977" w:right="0" w:hanging="411"/>
        <w:jc w:val="left"/>
      </w:pPr>
      <w:bookmarkStart w:name="_bookmark42" w:id="43"/>
      <w:bookmarkEnd w:id="43"/>
      <w:r>
        <w:rPr>
          <w:b w:val="0"/>
        </w:rPr>
      </w:r>
      <w:r>
        <w:rPr/>
        <w:t>Potensi</w:t>
      </w:r>
      <w:r>
        <w:rPr>
          <w:spacing w:val="-8"/>
        </w:rPr>
        <w:t> </w:t>
      </w:r>
      <w:r>
        <w:rPr/>
        <w:t>Pendapatan</w:t>
      </w:r>
      <w:r>
        <w:rPr>
          <w:spacing w:val="-8"/>
        </w:rPr>
        <w:t> </w:t>
      </w:r>
      <w:r>
        <w:rPr/>
        <w:t>dan</w:t>
      </w:r>
      <w:r>
        <w:rPr>
          <w:spacing w:val="-9"/>
        </w:rPr>
        <w:t> </w:t>
      </w:r>
      <w:r>
        <w:rPr/>
        <w:t>Pengeluaran</w:t>
      </w:r>
      <w:r>
        <w:rPr>
          <w:spacing w:val="-13"/>
        </w:rPr>
        <w:t> </w:t>
      </w:r>
      <w:r>
        <w:rPr/>
        <w:t>Pasca</w:t>
      </w:r>
      <w:r>
        <w:rPr>
          <w:spacing w:val="-11"/>
        </w:rPr>
        <w:t> </w:t>
      </w:r>
      <w:r>
        <w:rPr>
          <w:spacing w:val="-5"/>
        </w:rPr>
        <w:t>IKN</w:t>
      </w:r>
    </w:p>
    <w:p>
      <w:pPr>
        <w:pStyle w:val="Heading2"/>
        <w:numPr>
          <w:ilvl w:val="2"/>
          <w:numId w:val="32"/>
        </w:numPr>
        <w:tabs>
          <w:tab w:pos="1951" w:val="left" w:leader="none"/>
        </w:tabs>
        <w:spacing w:line="240" w:lineRule="auto" w:before="218" w:after="0"/>
        <w:ind w:left="1951" w:right="0" w:hanging="607"/>
        <w:jc w:val="both"/>
      </w:pPr>
      <w:bookmarkStart w:name="_bookmark43" w:id="44"/>
      <w:bookmarkEnd w:id="44"/>
      <w:r>
        <w:rPr>
          <w:b w:val="0"/>
        </w:rPr>
      </w:r>
      <w:r>
        <w:rPr/>
        <w:t>Potensi</w:t>
      </w:r>
      <w:r>
        <w:rPr>
          <w:spacing w:val="52"/>
        </w:rPr>
        <w:t> </w:t>
      </w:r>
      <w:r>
        <w:rPr/>
        <w:t>Pendapatan</w:t>
      </w:r>
      <w:r>
        <w:rPr>
          <w:spacing w:val="-7"/>
        </w:rPr>
        <w:t> </w:t>
      </w:r>
      <w:r>
        <w:rPr/>
        <w:t>Pasca</w:t>
      </w:r>
      <w:r>
        <w:rPr>
          <w:spacing w:val="-6"/>
        </w:rPr>
        <w:t> </w:t>
      </w:r>
      <w:r>
        <w:rPr>
          <w:spacing w:val="-5"/>
        </w:rPr>
        <w:t>IKN</w:t>
      </w:r>
    </w:p>
    <w:p>
      <w:pPr>
        <w:pStyle w:val="BodyText"/>
        <w:spacing w:line="360" w:lineRule="auto" w:before="224"/>
        <w:ind w:left="1248" w:right="703" w:firstLine="720"/>
      </w:pPr>
      <w:r>
        <w:rPr/>
        <w:t>Berdasarkan hasil penelitian, diperoleh informasi bahwa distribusi</w:t>
      </w:r>
      <w:r>
        <w:rPr>
          <w:spacing w:val="-17"/>
        </w:rPr>
        <w:t> </w:t>
      </w:r>
      <w:r>
        <w:rPr/>
        <w:t>PDRB</w:t>
      </w:r>
      <w:r>
        <w:rPr>
          <w:spacing w:val="-16"/>
        </w:rPr>
        <w:t> </w:t>
      </w:r>
      <w:r>
        <w:rPr/>
        <w:t>Kabupaten</w:t>
      </w:r>
      <w:r>
        <w:rPr>
          <w:spacing w:val="-17"/>
        </w:rPr>
        <w:t> </w:t>
      </w:r>
      <w:r>
        <w:rPr/>
        <w:t>Kutai</w:t>
      </w:r>
      <w:r>
        <w:rPr>
          <w:spacing w:val="-16"/>
        </w:rPr>
        <w:t> </w:t>
      </w:r>
      <w:r>
        <w:rPr/>
        <w:t>Kartanegara</w:t>
      </w:r>
      <w:r>
        <w:rPr>
          <w:spacing w:val="-17"/>
        </w:rPr>
        <w:t> </w:t>
      </w:r>
      <w:r>
        <w:rPr/>
        <w:t>sebagaimanatergambar pada Gambar 6. Menurut Gambar 6, tampak bahwa sektor</w:t>
      </w:r>
      <w:r>
        <w:rPr>
          <w:spacing w:val="-17"/>
        </w:rPr>
        <w:t> </w:t>
      </w:r>
      <w:r>
        <w:rPr/>
        <w:t>PDRB terbesar dari sektor pertambangan dan penggalian.</w:t>
      </w:r>
    </w:p>
    <w:p>
      <w:pPr>
        <w:pStyle w:val="BodyText"/>
        <w:spacing w:before="1"/>
        <w:jc w:val="left"/>
        <w:rPr>
          <w:sz w:val="11"/>
        </w:rPr>
      </w:pPr>
    </w:p>
    <w:p>
      <w:pPr>
        <w:pStyle w:val="BodyText"/>
        <w:spacing w:after="0"/>
        <w:jc w:val="left"/>
        <w:rPr>
          <w:sz w:val="11"/>
        </w:rPr>
        <w:sectPr>
          <w:pgSz w:w="11910" w:h="16840"/>
          <w:pgMar w:header="0" w:footer="1186" w:top="1580" w:bottom="1380" w:left="1700" w:right="992"/>
        </w:sectPr>
      </w:pPr>
    </w:p>
    <w:p>
      <w:pPr>
        <w:spacing w:line="247" w:lineRule="auto" w:before="65"/>
        <w:ind w:left="2280" w:right="97" w:firstLine="1651"/>
        <w:jc w:val="left"/>
        <w:rPr>
          <w:rFonts w:ascii="Calibri"/>
          <w:sz w:val="18"/>
        </w:rPr>
      </w:pPr>
      <w:r>
        <w:rPr>
          <w:rFonts w:ascii="Calibri"/>
          <w:color w:val="575757"/>
          <w:sz w:val="18"/>
        </w:rPr>
        <w:t>Jasa</w:t>
      </w:r>
      <w:r>
        <w:rPr>
          <w:rFonts w:ascii="Calibri"/>
          <w:color w:val="575757"/>
          <w:spacing w:val="-11"/>
          <w:sz w:val="18"/>
        </w:rPr>
        <w:t> </w:t>
      </w:r>
      <w:r>
        <w:rPr>
          <w:rFonts w:ascii="Calibri"/>
          <w:color w:val="575757"/>
          <w:sz w:val="18"/>
        </w:rPr>
        <w:t>Lainnya Jasa</w:t>
      </w:r>
      <w:r>
        <w:rPr>
          <w:rFonts w:ascii="Calibri"/>
          <w:color w:val="575757"/>
          <w:spacing w:val="-5"/>
          <w:sz w:val="18"/>
        </w:rPr>
        <w:t> </w:t>
      </w:r>
      <w:r>
        <w:rPr>
          <w:rFonts w:ascii="Calibri"/>
          <w:color w:val="575757"/>
          <w:sz w:val="18"/>
        </w:rPr>
        <w:t>Kesehatan</w:t>
      </w:r>
      <w:r>
        <w:rPr>
          <w:rFonts w:ascii="Calibri"/>
          <w:color w:val="575757"/>
          <w:spacing w:val="-7"/>
          <w:sz w:val="18"/>
        </w:rPr>
        <w:t> </w:t>
      </w:r>
      <w:r>
        <w:rPr>
          <w:rFonts w:ascii="Calibri"/>
          <w:color w:val="575757"/>
          <w:sz w:val="18"/>
        </w:rPr>
        <w:t>dan</w:t>
      </w:r>
      <w:r>
        <w:rPr>
          <w:rFonts w:ascii="Calibri"/>
          <w:color w:val="575757"/>
          <w:spacing w:val="-8"/>
          <w:sz w:val="18"/>
        </w:rPr>
        <w:t> </w:t>
      </w:r>
      <w:r>
        <w:rPr>
          <w:rFonts w:ascii="Calibri"/>
          <w:color w:val="575757"/>
          <w:sz w:val="18"/>
        </w:rPr>
        <w:t>Kegiatan</w:t>
      </w:r>
      <w:r>
        <w:rPr>
          <w:rFonts w:ascii="Calibri"/>
          <w:color w:val="575757"/>
          <w:spacing w:val="-3"/>
          <w:sz w:val="18"/>
        </w:rPr>
        <w:t> </w:t>
      </w:r>
      <w:r>
        <w:rPr>
          <w:rFonts w:ascii="Calibri"/>
          <w:color w:val="575757"/>
          <w:spacing w:val="-2"/>
          <w:sz w:val="18"/>
        </w:rPr>
        <w:t>Sosial</w:t>
      </w:r>
    </w:p>
    <w:p>
      <w:pPr>
        <w:spacing w:line="247" w:lineRule="auto" w:before="0"/>
        <w:ind w:left="2785" w:right="0" w:firstLine="888"/>
        <w:jc w:val="left"/>
        <w:rPr>
          <w:rFonts w:ascii="Calibri" w:hAnsi="Calibri"/>
          <w:sz w:val="18"/>
        </w:rPr>
      </w:pPr>
      <w:r>
        <w:rPr>
          <w:rFonts w:ascii="Calibri" w:hAnsi="Calibri"/>
          <w:color w:val="575757"/>
          <w:sz w:val="18"/>
        </w:rPr>
        <w:t>Jasa</w:t>
      </w:r>
      <w:r>
        <w:rPr>
          <w:rFonts w:ascii="Calibri" w:hAnsi="Calibri"/>
          <w:color w:val="575757"/>
          <w:spacing w:val="-8"/>
          <w:sz w:val="18"/>
        </w:rPr>
        <w:t> </w:t>
      </w:r>
      <w:r>
        <w:rPr>
          <w:rFonts w:ascii="Calibri" w:hAnsi="Calibri"/>
          <w:color w:val="575757"/>
          <w:sz w:val="18"/>
        </w:rPr>
        <w:t>Pendidikan </w:t>
      </w:r>
      <w:r>
        <w:rPr>
          <w:rFonts w:ascii="Calibri" w:hAnsi="Calibri"/>
          <w:color w:val="575757"/>
          <w:spacing w:val="-2"/>
          <w:sz w:val="18"/>
        </w:rPr>
        <w:t>Administrasi</w:t>
      </w:r>
      <w:r>
        <w:rPr>
          <w:rFonts w:ascii="Calibri" w:hAnsi="Calibri"/>
          <w:color w:val="575757"/>
          <w:spacing w:val="-10"/>
          <w:sz w:val="18"/>
        </w:rPr>
        <w:t> </w:t>
      </w:r>
      <w:r>
        <w:rPr>
          <w:rFonts w:ascii="Calibri" w:hAnsi="Calibri"/>
          <w:color w:val="575757"/>
          <w:spacing w:val="-2"/>
          <w:sz w:val="18"/>
        </w:rPr>
        <w:t>Pemerintahan,…</w:t>
      </w:r>
    </w:p>
    <w:p>
      <w:pPr>
        <w:spacing w:line="218" w:lineRule="exact" w:before="0"/>
        <w:ind w:left="3634" w:right="0" w:firstLine="0"/>
        <w:jc w:val="left"/>
        <w:rPr>
          <w:rFonts w:ascii="Calibri"/>
          <w:sz w:val="18"/>
        </w:rPr>
      </w:pPr>
      <w:r>
        <w:rPr>
          <w:rFonts w:ascii="Calibri"/>
          <w:color w:val="575757"/>
          <w:sz w:val="18"/>
        </w:rPr>
        <w:t>Jasa</w:t>
      </w:r>
      <w:r>
        <w:rPr>
          <w:rFonts w:ascii="Calibri"/>
          <w:color w:val="575757"/>
          <w:spacing w:val="-7"/>
          <w:sz w:val="18"/>
        </w:rPr>
        <w:t> </w:t>
      </w:r>
      <w:r>
        <w:rPr>
          <w:rFonts w:ascii="Calibri"/>
          <w:color w:val="575757"/>
          <w:spacing w:val="-2"/>
          <w:sz w:val="18"/>
        </w:rPr>
        <w:t>Perusahaan</w:t>
      </w:r>
    </w:p>
    <w:p>
      <w:pPr>
        <w:spacing w:line="252" w:lineRule="auto" w:before="5"/>
        <w:ind w:left="3778" w:right="100" w:firstLine="240"/>
        <w:jc w:val="left"/>
        <w:rPr>
          <w:rFonts w:ascii="Calibri"/>
          <w:sz w:val="18"/>
        </w:rPr>
      </w:pPr>
      <w:r>
        <w:rPr>
          <w:rFonts w:ascii="Calibri"/>
          <w:color w:val="575757"/>
          <w:sz w:val="18"/>
        </w:rPr>
        <w:t>Real</w:t>
      </w:r>
      <w:r>
        <w:rPr>
          <w:rFonts w:ascii="Calibri"/>
          <w:color w:val="575757"/>
          <w:spacing w:val="-11"/>
          <w:sz w:val="18"/>
        </w:rPr>
        <w:t> </w:t>
      </w:r>
      <w:r>
        <w:rPr>
          <w:rFonts w:ascii="Calibri"/>
          <w:color w:val="575757"/>
          <w:sz w:val="18"/>
        </w:rPr>
        <w:t>Estate Jasa</w:t>
      </w:r>
      <w:r>
        <w:rPr>
          <w:rFonts w:ascii="Calibri"/>
          <w:color w:val="575757"/>
          <w:spacing w:val="-12"/>
          <w:sz w:val="18"/>
        </w:rPr>
        <w:t> </w:t>
      </w:r>
      <w:r>
        <w:rPr>
          <w:rFonts w:ascii="Calibri"/>
          <w:color w:val="575757"/>
          <w:spacing w:val="-2"/>
          <w:sz w:val="18"/>
        </w:rPr>
        <w:t>Keuangan</w:t>
      </w:r>
    </w:p>
    <w:p>
      <w:pPr>
        <w:spacing w:before="0"/>
        <w:ind w:left="2256" w:right="0" w:firstLine="677"/>
        <w:jc w:val="left"/>
        <w:rPr>
          <w:rFonts w:ascii="Calibri" w:hAnsi="Calibri"/>
          <w:sz w:val="18"/>
        </w:rPr>
      </w:pPr>
      <w:r>
        <w:rPr>
          <w:rFonts w:ascii="Calibri" w:hAnsi="Calibri"/>
          <w:color w:val="575757"/>
          <w:sz w:val="18"/>
        </w:rPr>
        <w:t>Informasi dan Komunikasi Penyediaan</w:t>
      </w:r>
      <w:r>
        <w:rPr>
          <w:rFonts w:ascii="Calibri" w:hAnsi="Calibri"/>
          <w:color w:val="575757"/>
          <w:spacing w:val="-11"/>
          <w:sz w:val="18"/>
        </w:rPr>
        <w:t> </w:t>
      </w:r>
      <w:r>
        <w:rPr>
          <w:rFonts w:ascii="Calibri" w:hAnsi="Calibri"/>
          <w:color w:val="575757"/>
          <w:sz w:val="18"/>
        </w:rPr>
        <w:t>Akomodasi</w:t>
      </w:r>
      <w:r>
        <w:rPr>
          <w:rFonts w:ascii="Calibri" w:hAnsi="Calibri"/>
          <w:color w:val="575757"/>
          <w:spacing w:val="-10"/>
          <w:sz w:val="18"/>
        </w:rPr>
        <w:t> </w:t>
      </w:r>
      <w:r>
        <w:rPr>
          <w:rFonts w:ascii="Calibri" w:hAnsi="Calibri"/>
          <w:color w:val="575757"/>
          <w:sz w:val="18"/>
        </w:rPr>
        <w:t>dan</w:t>
      </w:r>
      <w:r>
        <w:rPr>
          <w:rFonts w:ascii="Calibri" w:hAnsi="Calibri"/>
          <w:color w:val="575757"/>
          <w:spacing w:val="-10"/>
          <w:sz w:val="18"/>
        </w:rPr>
        <w:t> </w:t>
      </w:r>
      <w:r>
        <w:rPr>
          <w:rFonts w:ascii="Calibri" w:hAnsi="Calibri"/>
          <w:color w:val="575757"/>
          <w:sz w:val="18"/>
        </w:rPr>
        <w:t>Makan…</w:t>
      </w:r>
    </w:p>
    <w:p>
      <w:pPr>
        <w:spacing w:line="247" w:lineRule="auto" w:before="7"/>
        <w:ind w:left="2511" w:right="0" w:firstLine="72"/>
        <w:jc w:val="left"/>
        <w:rPr>
          <w:rFonts w:ascii="Calibri" w:hAnsi="Calibri"/>
          <w:sz w:val="18"/>
        </w:rPr>
      </w:pPr>
      <w:r>
        <w:rPr>
          <w:rFonts w:ascii="Calibri" w:hAnsi="Calibri"/>
          <w:color w:val="575757"/>
          <w:sz w:val="18"/>
        </w:rPr>
        <w:t>Transportasi dan Pergudangan Perdagangan</w:t>
      </w:r>
      <w:r>
        <w:rPr>
          <w:rFonts w:ascii="Calibri" w:hAnsi="Calibri"/>
          <w:color w:val="575757"/>
          <w:spacing w:val="-11"/>
          <w:sz w:val="18"/>
        </w:rPr>
        <w:t> </w:t>
      </w:r>
      <w:r>
        <w:rPr>
          <w:rFonts w:ascii="Calibri" w:hAnsi="Calibri"/>
          <w:color w:val="575757"/>
          <w:sz w:val="18"/>
        </w:rPr>
        <w:t>Besar</w:t>
      </w:r>
      <w:r>
        <w:rPr>
          <w:rFonts w:ascii="Calibri" w:hAnsi="Calibri"/>
          <w:color w:val="575757"/>
          <w:spacing w:val="-10"/>
          <w:sz w:val="18"/>
        </w:rPr>
        <w:t> </w:t>
      </w:r>
      <w:r>
        <w:rPr>
          <w:rFonts w:ascii="Calibri" w:hAnsi="Calibri"/>
          <w:color w:val="575757"/>
          <w:sz w:val="18"/>
        </w:rPr>
        <w:t>dan</w:t>
      </w:r>
      <w:r>
        <w:rPr>
          <w:rFonts w:ascii="Calibri" w:hAnsi="Calibri"/>
          <w:color w:val="575757"/>
          <w:spacing w:val="-10"/>
          <w:sz w:val="18"/>
        </w:rPr>
        <w:t> </w:t>
      </w:r>
      <w:r>
        <w:rPr>
          <w:rFonts w:ascii="Calibri" w:hAnsi="Calibri"/>
          <w:color w:val="575757"/>
          <w:sz w:val="18"/>
        </w:rPr>
        <w:t>Eceran;…</w:t>
      </w:r>
    </w:p>
    <w:p>
      <w:pPr>
        <w:spacing w:line="247" w:lineRule="auto" w:before="0"/>
        <w:ind w:left="2103" w:right="0" w:firstLine="1954"/>
        <w:jc w:val="left"/>
        <w:rPr>
          <w:rFonts w:ascii="Calibri" w:hAnsi="Calibri"/>
          <w:sz w:val="18"/>
        </w:rPr>
      </w:pPr>
      <w:r>
        <w:rPr>
          <w:rFonts w:ascii="Calibri" w:hAnsi="Calibri"/>
          <w:color w:val="575757"/>
          <w:spacing w:val="-2"/>
          <w:sz w:val="18"/>
        </w:rPr>
        <w:t>Konstruksi</w:t>
      </w:r>
      <w:r>
        <w:rPr>
          <w:rFonts w:ascii="Calibri" w:hAnsi="Calibri"/>
          <w:color w:val="575757"/>
          <w:sz w:val="18"/>
        </w:rPr>
        <w:t> Pengadaan</w:t>
      </w:r>
      <w:r>
        <w:rPr>
          <w:rFonts w:ascii="Calibri" w:hAnsi="Calibri"/>
          <w:color w:val="575757"/>
          <w:spacing w:val="-11"/>
          <w:sz w:val="18"/>
        </w:rPr>
        <w:t> </w:t>
      </w:r>
      <w:r>
        <w:rPr>
          <w:rFonts w:ascii="Calibri" w:hAnsi="Calibri"/>
          <w:color w:val="575757"/>
          <w:sz w:val="18"/>
        </w:rPr>
        <w:t>Air,</w:t>
      </w:r>
      <w:r>
        <w:rPr>
          <w:rFonts w:ascii="Calibri" w:hAnsi="Calibri"/>
          <w:color w:val="575757"/>
          <w:spacing w:val="-10"/>
          <w:sz w:val="18"/>
        </w:rPr>
        <w:t> </w:t>
      </w:r>
      <w:r>
        <w:rPr>
          <w:rFonts w:ascii="Calibri" w:hAnsi="Calibri"/>
          <w:color w:val="575757"/>
          <w:sz w:val="18"/>
        </w:rPr>
        <w:t>Pengelolaan</w:t>
      </w:r>
      <w:r>
        <w:rPr>
          <w:rFonts w:ascii="Calibri" w:hAnsi="Calibri"/>
          <w:color w:val="575757"/>
          <w:spacing w:val="-10"/>
          <w:sz w:val="18"/>
        </w:rPr>
        <w:t> </w:t>
      </w:r>
      <w:r>
        <w:rPr>
          <w:rFonts w:ascii="Calibri" w:hAnsi="Calibri"/>
          <w:color w:val="575757"/>
          <w:sz w:val="18"/>
        </w:rPr>
        <w:t>Sampah,…</w:t>
      </w:r>
    </w:p>
    <w:p>
      <w:pPr>
        <w:spacing w:line="247" w:lineRule="auto" w:before="0"/>
        <w:ind w:left="2602" w:right="105" w:firstLine="307"/>
        <w:jc w:val="right"/>
        <w:rPr>
          <w:rFonts w:ascii="Calibri"/>
          <w:sz w:val="18"/>
        </w:rPr>
      </w:pPr>
      <w:r>
        <w:rPr>
          <w:rFonts w:ascii="Calibri"/>
          <w:color w:val="575757"/>
          <w:sz w:val="18"/>
        </w:rPr>
        <w:t>Pengadaan</w:t>
      </w:r>
      <w:r>
        <w:rPr>
          <w:rFonts w:ascii="Calibri"/>
          <w:color w:val="575757"/>
          <w:spacing w:val="-10"/>
          <w:sz w:val="18"/>
        </w:rPr>
        <w:t> </w:t>
      </w:r>
      <w:r>
        <w:rPr>
          <w:rFonts w:ascii="Calibri"/>
          <w:color w:val="575757"/>
          <w:sz w:val="18"/>
        </w:rPr>
        <w:t>Listrik</w:t>
      </w:r>
      <w:r>
        <w:rPr>
          <w:rFonts w:ascii="Calibri"/>
          <w:color w:val="575757"/>
          <w:spacing w:val="-8"/>
          <w:sz w:val="18"/>
        </w:rPr>
        <w:t> </w:t>
      </w:r>
      <w:r>
        <w:rPr>
          <w:rFonts w:ascii="Calibri"/>
          <w:color w:val="575757"/>
          <w:sz w:val="18"/>
        </w:rPr>
        <w:t>dan</w:t>
      </w:r>
      <w:r>
        <w:rPr>
          <w:rFonts w:ascii="Calibri"/>
          <w:color w:val="575757"/>
          <w:spacing w:val="-10"/>
          <w:sz w:val="18"/>
        </w:rPr>
        <w:t> </w:t>
      </w:r>
      <w:r>
        <w:rPr>
          <w:rFonts w:ascii="Calibri"/>
          <w:color w:val="575757"/>
          <w:sz w:val="18"/>
        </w:rPr>
        <w:t>Gas Industri</w:t>
      </w:r>
      <w:r>
        <w:rPr>
          <w:rFonts w:ascii="Calibri"/>
          <w:color w:val="575757"/>
          <w:spacing w:val="-4"/>
          <w:sz w:val="18"/>
        </w:rPr>
        <w:t> </w:t>
      </w:r>
      <w:r>
        <w:rPr>
          <w:rFonts w:ascii="Calibri"/>
          <w:color w:val="575757"/>
          <w:sz w:val="18"/>
        </w:rPr>
        <w:t>Pengolahan Pertambangan</w:t>
      </w:r>
      <w:r>
        <w:rPr>
          <w:rFonts w:ascii="Calibri"/>
          <w:color w:val="575757"/>
          <w:spacing w:val="-7"/>
          <w:sz w:val="18"/>
        </w:rPr>
        <w:t> </w:t>
      </w:r>
      <w:r>
        <w:rPr>
          <w:rFonts w:ascii="Calibri"/>
          <w:color w:val="575757"/>
          <w:sz w:val="18"/>
        </w:rPr>
        <w:t>dan</w:t>
      </w:r>
      <w:r>
        <w:rPr>
          <w:rFonts w:ascii="Calibri"/>
          <w:color w:val="575757"/>
          <w:spacing w:val="-8"/>
          <w:sz w:val="18"/>
        </w:rPr>
        <w:t> </w:t>
      </w:r>
      <w:r>
        <w:rPr>
          <w:rFonts w:ascii="Calibri"/>
          <w:color w:val="575757"/>
          <w:spacing w:val="-2"/>
          <w:sz w:val="18"/>
        </w:rPr>
        <w:t>Penggalian</w:t>
      </w:r>
    </w:p>
    <w:p>
      <w:pPr>
        <w:spacing w:before="0"/>
        <w:ind w:left="0" w:right="110" w:firstLine="0"/>
        <w:jc w:val="right"/>
        <w:rPr>
          <w:rFonts w:ascii="Calibri"/>
          <w:sz w:val="18"/>
        </w:rPr>
      </w:pPr>
      <w:r>
        <w:rPr>
          <w:rFonts w:ascii="Calibri"/>
          <w:color w:val="575757"/>
          <w:sz w:val="18"/>
        </w:rPr>
        <w:t>Pertanian,</w:t>
      </w:r>
      <w:r>
        <w:rPr>
          <w:rFonts w:ascii="Calibri"/>
          <w:color w:val="575757"/>
          <w:spacing w:val="-7"/>
          <w:sz w:val="18"/>
        </w:rPr>
        <w:t> </w:t>
      </w:r>
      <w:r>
        <w:rPr>
          <w:rFonts w:ascii="Calibri"/>
          <w:color w:val="575757"/>
          <w:sz w:val="18"/>
        </w:rPr>
        <w:t>Kehutanan,</w:t>
      </w:r>
      <w:r>
        <w:rPr>
          <w:rFonts w:ascii="Calibri"/>
          <w:color w:val="575757"/>
          <w:spacing w:val="-8"/>
          <w:sz w:val="18"/>
        </w:rPr>
        <w:t> </w:t>
      </w:r>
      <w:r>
        <w:rPr>
          <w:rFonts w:ascii="Calibri"/>
          <w:color w:val="575757"/>
          <w:sz w:val="18"/>
        </w:rPr>
        <w:t>dan</w:t>
      </w:r>
      <w:r>
        <w:rPr>
          <w:rFonts w:ascii="Calibri"/>
          <w:color w:val="575757"/>
          <w:spacing w:val="-10"/>
          <w:sz w:val="18"/>
        </w:rPr>
        <w:t> </w:t>
      </w:r>
      <w:r>
        <w:rPr>
          <w:rFonts w:ascii="Calibri"/>
          <w:color w:val="575757"/>
          <w:spacing w:val="-2"/>
          <w:sz w:val="18"/>
        </w:rPr>
        <w:t>Perikanan</w:t>
      </w:r>
    </w:p>
    <w:p>
      <w:pPr>
        <w:spacing w:before="75"/>
        <w:ind w:left="0" w:right="571" w:firstLine="0"/>
        <w:jc w:val="right"/>
        <w:rPr>
          <w:rFonts w:ascii="Calibri"/>
          <w:sz w:val="18"/>
        </w:rPr>
      </w:pPr>
      <w:r>
        <w:rPr/>
        <w:br w:type="column"/>
      </w:r>
      <w:r>
        <w:rPr>
          <w:rFonts w:ascii="Calibri"/>
          <w:color w:val="404040"/>
          <w:spacing w:val="-5"/>
          <w:sz w:val="18"/>
        </w:rPr>
        <w:t>0,2</w:t>
      </w:r>
    </w:p>
    <w:p>
      <w:pPr>
        <w:spacing w:before="6"/>
        <w:ind w:left="0" w:right="547" w:firstLine="0"/>
        <w:jc w:val="right"/>
        <w:rPr>
          <w:rFonts w:ascii="Calibri"/>
          <w:sz w:val="18"/>
        </w:rPr>
      </w:pPr>
      <w:r>
        <w:rPr>
          <w:rFonts w:ascii="Calibri"/>
          <w:sz w:val="18"/>
        </w:rPr>
        <mc:AlternateContent>
          <mc:Choice Requires="wps">
            <w:drawing>
              <wp:anchor distT="0" distB="0" distL="0" distR="0" allowOverlap="1" layoutInCell="1" locked="0" behindDoc="1" simplePos="0" relativeHeight="485867520">
                <wp:simplePos x="0" y="0"/>
                <wp:positionH relativeFrom="page">
                  <wp:posOffset>4244975</wp:posOffset>
                </wp:positionH>
                <wp:positionV relativeFrom="paragraph">
                  <wp:posOffset>-143034</wp:posOffset>
                </wp:positionV>
                <wp:extent cx="2159635" cy="24384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159635" cy="2438400"/>
                          <a:chExt cx="2159635" cy="2438400"/>
                        </a:xfrm>
                      </wpg:grpSpPr>
                      <wps:wsp>
                        <wps:cNvPr id="12" name="Graphic 12"/>
                        <wps:cNvSpPr/>
                        <wps:spPr>
                          <a:xfrm>
                            <a:off x="0" y="0"/>
                            <a:ext cx="2155190" cy="2438400"/>
                          </a:xfrm>
                          <a:custGeom>
                            <a:avLst/>
                            <a:gdLst/>
                            <a:ahLst/>
                            <a:cxnLst/>
                            <a:rect l="l" t="t" r="r" b="b"/>
                            <a:pathLst>
                              <a:path w="2155190" h="2438400">
                                <a:moveTo>
                                  <a:pt x="2155190" y="0"/>
                                </a:moveTo>
                                <a:lnTo>
                                  <a:pt x="0" y="0"/>
                                </a:lnTo>
                                <a:lnTo>
                                  <a:pt x="0" y="2438400"/>
                                </a:lnTo>
                                <a:lnTo>
                                  <a:pt x="2155190" y="2438400"/>
                                </a:lnTo>
                                <a:lnTo>
                                  <a:pt x="2155190" y="0"/>
                                </a:lnTo>
                                <a:close/>
                              </a:path>
                            </a:pathLst>
                          </a:custGeom>
                          <a:solidFill>
                            <a:srgbClr val="F0F0F0"/>
                          </a:solidFill>
                        </wps:spPr>
                        <wps:bodyPr wrap="square" lIns="0" tIns="0" rIns="0" bIns="0" rtlCol="0">
                          <a:prstTxWarp prst="textNoShape">
                            <a:avLst/>
                          </a:prstTxWarp>
                          <a:noAutofit/>
                        </wps:bodyPr>
                      </wps:wsp>
                      <wps:wsp>
                        <wps:cNvPr id="13" name="Graphic 13"/>
                        <wps:cNvSpPr/>
                        <wps:spPr>
                          <a:xfrm>
                            <a:off x="268604" y="0"/>
                            <a:ext cx="1885950" cy="2438400"/>
                          </a:xfrm>
                          <a:custGeom>
                            <a:avLst/>
                            <a:gdLst/>
                            <a:ahLst/>
                            <a:cxnLst/>
                            <a:rect l="l" t="t" r="r" b="b"/>
                            <a:pathLst>
                              <a:path w="1885950" h="2438400">
                                <a:moveTo>
                                  <a:pt x="0" y="2249170"/>
                                </a:moveTo>
                                <a:lnTo>
                                  <a:pt x="0" y="2438400"/>
                                </a:lnTo>
                              </a:path>
                              <a:path w="1885950" h="2438400">
                                <a:moveTo>
                                  <a:pt x="0" y="0"/>
                                </a:moveTo>
                                <a:lnTo>
                                  <a:pt x="0" y="2197735"/>
                                </a:lnTo>
                              </a:path>
                              <a:path w="1885950" h="2438400">
                                <a:moveTo>
                                  <a:pt x="269875" y="2249170"/>
                                </a:moveTo>
                                <a:lnTo>
                                  <a:pt x="269875" y="2438400"/>
                                </a:lnTo>
                              </a:path>
                              <a:path w="1885950" h="2438400">
                                <a:moveTo>
                                  <a:pt x="269875" y="0"/>
                                </a:moveTo>
                                <a:lnTo>
                                  <a:pt x="269875" y="2197735"/>
                                </a:lnTo>
                              </a:path>
                              <a:path w="1885950" h="2438400">
                                <a:moveTo>
                                  <a:pt x="538480" y="2249170"/>
                                </a:moveTo>
                                <a:lnTo>
                                  <a:pt x="538480" y="2438400"/>
                                </a:lnTo>
                              </a:path>
                              <a:path w="1885950" h="2438400">
                                <a:moveTo>
                                  <a:pt x="538480" y="0"/>
                                </a:moveTo>
                                <a:lnTo>
                                  <a:pt x="538480" y="2197735"/>
                                </a:lnTo>
                              </a:path>
                              <a:path w="1885950" h="2438400">
                                <a:moveTo>
                                  <a:pt x="808355" y="2249170"/>
                                </a:moveTo>
                                <a:lnTo>
                                  <a:pt x="808355" y="2438400"/>
                                </a:lnTo>
                              </a:path>
                              <a:path w="1885950" h="2438400">
                                <a:moveTo>
                                  <a:pt x="808355" y="0"/>
                                </a:moveTo>
                                <a:lnTo>
                                  <a:pt x="808355" y="2197735"/>
                                </a:lnTo>
                              </a:path>
                              <a:path w="1885950" h="2438400">
                                <a:moveTo>
                                  <a:pt x="1077595" y="2249170"/>
                                </a:moveTo>
                                <a:lnTo>
                                  <a:pt x="1077595" y="2438400"/>
                                </a:lnTo>
                              </a:path>
                              <a:path w="1885950" h="2438400">
                                <a:moveTo>
                                  <a:pt x="1077595" y="0"/>
                                </a:moveTo>
                                <a:lnTo>
                                  <a:pt x="1077595" y="2197735"/>
                                </a:lnTo>
                              </a:path>
                              <a:path w="1885950" h="2438400">
                                <a:moveTo>
                                  <a:pt x="1346835" y="2249170"/>
                                </a:moveTo>
                                <a:lnTo>
                                  <a:pt x="1346835" y="2438400"/>
                                </a:lnTo>
                              </a:path>
                              <a:path w="1885950" h="2438400">
                                <a:moveTo>
                                  <a:pt x="1346835" y="0"/>
                                </a:moveTo>
                                <a:lnTo>
                                  <a:pt x="1346835" y="2197735"/>
                                </a:lnTo>
                              </a:path>
                              <a:path w="1885950" h="2438400">
                                <a:moveTo>
                                  <a:pt x="1616075" y="2249170"/>
                                </a:moveTo>
                                <a:lnTo>
                                  <a:pt x="1616075" y="2438400"/>
                                </a:lnTo>
                              </a:path>
                              <a:path w="1885950" h="2438400">
                                <a:moveTo>
                                  <a:pt x="1616075" y="0"/>
                                </a:moveTo>
                                <a:lnTo>
                                  <a:pt x="1616075" y="2197735"/>
                                </a:lnTo>
                              </a:path>
                              <a:path w="1885950" h="2438400">
                                <a:moveTo>
                                  <a:pt x="1885950" y="0"/>
                                </a:moveTo>
                                <a:lnTo>
                                  <a:pt x="1885950" y="2438400"/>
                                </a:lnTo>
                              </a:path>
                            </a:pathLst>
                          </a:custGeom>
                          <a:ln w="9525">
                            <a:solidFill>
                              <a:srgbClr val="D9D9D9"/>
                            </a:solidFill>
                            <a:prstDash val="solid"/>
                          </a:ln>
                        </wps:spPr>
                        <wps:bodyPr wrap="square" lIns="0" tIns="0" rIns="0" bIns="0" rtlCol="0">
                          <a:prstTxWarp prst="textNoShape">
                            <a:avLst/>
                          </a:prstTxWarp>
                          <a:noAutofit/>
                        </wps:bodyPr>
                      </wps:wsp>
                      <wps:wsp>
                        <wps:cNvPr id="14" name="Graphic 14"/>
                        <wps:cNvSpPr/>
                        <wps:spPr>
                          <a:xfrm>
                            <a:off x="0" y="2197735"/>
                            <a:ext cx="1906270" cy="51435"/>
                          </a:xfrm>
                          <a:custGeom>
                            <a:avLst/>
                            <a:gdLst/>
                            <a:ahLst/>
                            <a:cxnLst/>
                            <a:rect l="l" t="t" r="r" b="b"/>
                            <a:pathLst>
                              <a:path w="1906270" h="51435">
                                <a:moveTo>
                                  <a:pt x="1906270" y="0"/>
                                </a:moveTo>
                                <a:lnTo>
                                  <a:pt x="0" y="0"/>
                                </a:lnTo>
                                <a:lnTo>
                                  <a:pt x="0" y="51435"/>
                                </a:lnTo>
                                <a:lnTo>
                                  <a:pt x="1906270" y="51435"/>
                                </a:lnTo>
                                <a:lnTo>
                                  <a:pt x="1906270" y="0"/>
                                </a:lnTo>
                                <a:close/>
                              </a:path>
                            </a:pathLst>
                          </a:custGeom>
                          <a:solidFill>
                            <a:srgbClr val="8062A0"/>
                          </a:solidFill>
                        </wps:spPr>
                        <wps:bodyPr wrap="square" lIns="0" tIns="0" rIns="0" bIns="0" rtlCol="0">
                          <a:prstTxWarp prst="textNoShape">
                            <a:avLst/>
                          </a:prstTxWarp>
                          <a:noAutofit/>
                        </wps:bodyPr>
                      </wps:wsp>
                      <wps:wsp>
                        <wps:cNvPr id="15" name="Graphic 15"/>
                        <wps:cNvSpPr/>
                        <wps:spPr>
                          <a:xfrm>
                            <a:off x="0" y="46354"/>
                            <a:ext cx="288925" cy="2345690"/>
                          </a:xfrm>
                          <a:custGeom>
                            <a:avLst/>
                            <a:gdLst/>
                            <a:ahLst/>
                            <a:cxnLst/>
                            <a:rect l="l" t="t" r="r" b="b"/>
                            <a:pathLst>
                              <a:path w="288925" h="2345690">
                                <a:moveTo>
                                  <a:pt x="635" y="1864995"/>
                                </a:moveTo>
                                <a:lnTo>
                                  <a:pt x="0" y="1864995"/>
                                </a:lnTo>
                                <a:lnTo>
                                  <a:pt x="0" y="1915795"/>
                                </a:lnTo>
                                <a:lnTo>
                                  <a:pt x="635" y="1915795"/>
                                </a:lnTo>
                                <a:lnTo>
                                  <a:pt x="635" y="1864995"/>
                                </a:lnTo>
                                <a:close/>
                              </a:path>
                              <a:path w="288925" h="2345690">
                                <a:moveTo>
                                  <a:pt x="635" y="1721485"/>
                                </a:moveTo>
                                <a:lnTo>
                                  <a:pt x="0" y="1721485"/>
                                </a:lnTo>
                                <a:lnTo>
                                  <a:pt x="0" y="1771650"/>
                                </a:lnTo>
                                <a:lnTo>
                                  <a:pt x="635" y="1771650"/>
                                </a:lnTo>
                                <a:lnTo>
                                  <a:pt x="635" y="1721485"/>
                                </a:lnTo>
                                <a:close/>
                              </a:path>
                              <a:path w="288925" h="2345690">
                                <a:moveTo>
                                  <a:pt x="635" y="574040"/>
                                </a:moveTo>
                                <a:lnTo>
                                  <a:pt x="0" y="574040"/>
                                </a:lnTo>
                                <a:lnTo>
                                  <a:pt x="0" y="624205"/>
                                </a:lnTo>
                                <a:lnTo>
                                  <a:pt x="635" y="624205"/>
                                </a:lnTo>
                                <a:lnTo>
                                  <a:pt x="635" y="574040"/>
                                </a:lnTo>
                                <a:close/>
                              </a:path>
                              <a:path w="288925" h="2345690">
                                <a:moveTo>
                                  <a:pt x="5715" y="0"/>
                                </a:moveTo>
                                <a:lnTo>
                                  <a:pt x="0" y="0"/>
                                </a:lnTo>
                                <a:lnTo>
                                  <a:pt x="0" y="51447"/>
                                </a:lnTo>
                                <a:lnTo>
                                  <a:pt x="5715" y="51447"/>
                                </a:lnTo>
                                <a:lnTo>
                                  <a:pt x="5715" y="0"/>
                                </a:lnTo>
                                <a:close/>
                              </a:path>
                              <a:path w="288925" h="2345690">
                                <a:moveTo>
                                  <a:pt x="6350" y="1148080"/>
                                </a:moveTo>
                                <a:lnTo>
                                  <a:pt x="0" y="1148080"/>
                                </a:lnTo>
                                <a:lnTo>
                                  <a:pt x="0" y="1198245"/>
                                </a:lnTo>
                                <a:lnTo>
                                  <a:pt x="6350" y="1198245"/>
                                </a:lnTo>
                                <a:lnTo>
                                  <a:pt x="6350" y="1148080"/>
                                </a:lnTo>
                                <a:close/>
                              </a:path>
                              <a:path w="288925" h="2345690">
                                <a:moveTo>
                                  <a:pt x="7620" y="860425"/>
                                </a:moveTo>
                                <a:lnTo>
                                  <a:pt x="0" y="860425"/>
                                </a:lnTo>
                                <a:lnTo>
                                  <a:pt x="0" y="911860"/>
                                </a:lnTo>
                                <a:lnTo>
                                  <a:pt x="7620" y="911860"/>
                                </a:lnTo>
                                <a:lnTo>
                                  <a:pt x="7620" y="860425"/>
                                </a:lnTo>
                                <a:close/>
                              </a:path>
                              <a:path w="288925" h="2345690">
                                <a:moveTo>
                                  <a:pt x="9525" y="717550"/>
                                </a:moveTo>
                                <a:lnTo>
                                  <a:pt x="0" y="717550"/>
                                </a:lnTo>
                                <a:lnTo>
                                  <a:pt x="0" y="768350"/>
                                </a:lnTo>
                                <a:lnTo>
                                  <a:pt x="9525" y="768350"/>
                                </a:lnTo>
                                <a:lnTo>
                                  <a:pt x="9525" y="717550"/>
                                </a:lnTo>
                                <a:close/>
                              </a:path>
                              <a:path w="288925" h="2345690">
                                <a:moveTo>
                                  <a:pt x="17145" y="1003935"/>
                                </a:moveTo>
                                <a:lnTo>
                                  <a:pt x="0" y="1003935"/>
                                </a:lnTo>
                                <a:lnTo>
                                  <a:pt x="0" y="1054735"/>
                                </a:lnTo>
                                <a:lnTo>
                                  <a:pt x="17145" y="1054735"/>
                                </a:lnTo>
                                <a:lnTo>
                                  <a:pt x="17145" y="1003935"/>
                                </a:lnTo>
                                <a:close/>
                              </a:path>
                              <a:path w="288925" h="2345690">
                                <a:moveTo>
                                  <a:pt x="20955" y="143510"/>
                                </a:moveTo>
                                <a:lnTo>
                                  <a:pt x="0" y="143510"/>
                                </a:lnTo>
                                <a:lnTo>
                                  <a:pt x="0" y="194310"/>
                                </a:lnTo>
                                <a:lnTo>
                                  <a:pt x="20955" y="194310"/>
                                </a:lnTo>
                                <a:lnTo>
                                  <a:pt x="20955" y="143510"/>
                                </a:lnTo>
                                <a:close/>
                              </a:path>
                              <a:path w="288925" h="2345690">
                                <a:moveTo>
                                  <a:pt x="24765" y="1290955"/>
                                </a:moveTo>
                                <a:lnTo>
                                  <a:pt x="0" y="1290955"/>
                                </a:lnTo>
                                <a:lnTo>
                                  <a:pt x="0" y="1342390"/>
                                </a:lnTo>
                                <a:lnTo>
                                  <a:pt x="24765" y="1342390"/>
                                </a:lnTo>
                                <a:lnTo>
                                  <a:pt x="24765" y="1290955"/>
                                </a:lnTo>
                                <a:close/>
                              </a:path>
                              <a:path w="288925" h="2345690">
                                <a:moveTo>
                                  <a:pt x="25400" y="287020"/>
                                </a:moveTo>
                                <a:lnTo>
                                  <a:pt x="0" y="287020"/>
                                </a:lnTo>
                                <a:lnTo>
                                  <a:pt x="0" y="337820"/>
                                </a:lnTo>
                                <a:lnTo>
                                  <a:pt x="25400" y="337820"/>
                                </a:lnTo>
                                <a:lnTo>
                                  <a:pt x="25400" y="287020"/>
                                </a:lnTo>
                                <a:close/>
                              </a:path>
                              <a:path w="288925" h="2345690">
                                <a:moveTo>
                                  <a:pt x="32385" y="429895"/>
                                </a:moveTo>
                                <a:lnTo>
                                  <a:pt x="0" y="429895"/>
                                </a:lnTo>
                                <a:lnTo>
                                  <a:pt x="0" y="481330"/>
                                </a:lnTo>
                                <a:lnTo>
                                  <a:pt x="32385" y="481330"/>
                                </a:lnTo>
                                <a:lnTo>
                                  <a:pt x="32385" y="429895"/>
                                </a:lnTo>
                                <a:close/>
                              </a:path>
                              <a:path w="288925" h="2345690">
                                <a:moveTo>
                                  <a:pt x="83820" y="1434465"/>
                                </a:moveTo>
                                <a:lnTo>
                                  <a:pt x="0" y="1434465"/>
                                </a:lnTo>
                                <a:lnTo>
                                  <a:pt x="0" y="1485265"/>
                                </a:lnTo>
                                <a:lnTo>
                                  <a:pt x="83820" y="1485265"/>
                                </a:lnTo>
                                <a:lnTo>
                                  <a:pt x="83820" y="1434465"/>
                                </a:lnTo>
                                <a:close/>
                              </a:path>
                              <a:path w="288925" h="2345690">
                                <a:moveTo>
                                  <a:pt x="93980" y="2007870"/>
                                </a:moveTo>
                                <a:lnTo>
                                  <a:pt x="0" y="2007870"/>
                                </a:lnTo>
                                <a:lnTo>
                                  <a:pt x="0" y="2059305"/>
                                </a:lnTo>
                                <a:lnTo>
                                  <a:pt x="93980" y="2059305"/>
                                </a:lnTo>
                                <a:lnTo>
                                  <a:pt x="93980" y="2007870"/>
                                </a:lnTo>
                                <a:close/>
                              </a:path>
                              <a:path w="288925" h="2345690">
                                <a:moveTo>
                                  <a:pt x="170815" y="1577340"/>
                                </a:moveTo>
                                <a:lnTo>
                                  <a:pt x="0" y="1577340"/>
                                </a:lnTo>
                                <a:lnTo>
                                  <a:pt x="0" y="1628775"/>
                                </a:lnTo>
                                <a:lnTo>
                                  <a:pt x="170815" y="1628775"/>
                                </a:lnTo>
                                <a:lnTo>
                                  <a:pt x="170815" y="1577340"/>
                                </a:lnTo>
                                <a:close/>
                              </a:path>
                              <a:path w="288925" h="2345690">
                                <a:moveTo>
                                  <a:pt x="288925" y="2295525"/>
                                </a:moveTo>
                                <a:lnTo>
                                  <a:pt x="0" y="2295525"/>
                                </a:lnTo>
                                <a:lnTo>
                                  <a:pt x="0" y="2345690"/>
                                </a:lnTo>
                                <a:lnTo>
                                  <a:pt x="288925" y="2345690"/>
                                </a:lnTo>
                                <a:lnTo>
                                  <a:pt x="288925" y="2295525"/>
                                </a:lnTo>
                                <a:close/>
                              </a:path>
                            </a:pathLst>
                          </a:custGeom>
                          <a:solidFill>
                            <a:srgbClr val="00AEEE"/>
                          </a:solidFill>
                        </wps:spPr>
                        <wps:bodyPr wrap="square" lIns="0" tIns="0" rIns="0" bIns="0" rtlCol="0">
                          <a:prstTxWarp prst="textNoShape">
                            <a:avLst/>
                          </a:prstTxWarp>
                          <a:noAutofit/>
                        </wps:bodyPr>
                      </wps:wsp>
                    </wpg:wgp>
                  </a:graphicData>
                </a:graphic>
              </wp:anchor>
            </w:drawing>
          </mc:Choice>
          <mc:Fallback>
            <w:pict>
              <v:group style="position:absolute;margin-left:334.25pt;margin-top:-11.262539pt;width:170.05pt;height:192pt;mso-position-horizontal-relative:page;mso-position-vertical-relative:paragraph;z-index:-17448960" id="docshapegroup6" coordorigin="6685,-225" coordsize="3401,3840">
                <v:rect style="position:absolute;left:6685;top:-226;width:3394;height:3840" id="docshape7" filled="true" fillcolor="#f0f0f0" stroked="false">
                  <v:fill type="solid"/>
                </v:rect>
                <v:shape style="position:absolute;left:7108;top:-226;width:2970;height:3840" id="docshape8" coordorigin="7108,-225" coordsize="2970,3840" path="m7108,3317l7108,3615m7108,-225l7108,3236m7533,3317l7533,3615m7533,-225l7533,3236m7956,3317l7956,3615m7956,-225l7956,3236m8381,3317l8381,3615m8381,-225l8381,3236m8805,3317l8805,3615m8805,-225l8805,3236m9229,3317l9229,3615m9229,-225l9229,3236m9653,3317l9653,3615m9653,-225l9653,3236m10078,-225l10078,3615e" filled="false" stroked="true" strokeweight=".75pt" strokecolor="#d9d9d9">
                  <v:path arrowok="t"/>
                  <v:stroke dashstyle="solid"/>
                </v:shape>
                <v:rect style="position:absolute;left:6685;top:3235;width:3002;height:81" id="docshape9" filled="true" fillcolor="#8062a0" stroked="false">
                  <v:fill type="solid"/>
                </v:rect>
                <v:shape style="position:absolute;left:6685;top:-153;width:455;height:3694" id="docshape10" coordorigin="6685,-152" coordsize="455,3694" path="m6686,2785l6685,2785,6685,2865,6686,2865,6686,2785xm6686,2559l6685,2559,6685,2638,6686,2638,6686,2559xm6686,752l6685,752,6685,831,6686,831,6686,752xm6694,-152l6685,-152,6685,-71,6694,-71,6694,-152xm6695,1656l6685,1656,6685,1735,6695,1735,6695,1656xm6697,1203l6685,1203,6685,1284,6697,1284,6697,1203xm6700,978l6685,978,6685,1058,6700,1058,6700,978xm6712,1429l6685,1429,6685,1509,6712,1509,6712,1429xm6718,74l6685,74,6685,154,6718,154,6718,74xm6724,1881l6685,1881,6685,1962,6724,1962,6724,1881xm6725,300l6685,300,6685,380,6725,380,6725,300xm6736,525l6685,525,6685,606,6736,606,6736,525xm6817,2107l6685,2107,6685,2187,6817,2187,6817,2107xm6833,3010l6685,3010,6685,3091,6833,3091,6833,3010xm6954,2332l6685,2332,6685,2413,6954,2413,6954,2332xm7140,3463l6685,3463,6685,3542,7140,3542,7140,3463xe" filled="true" fillcolor="#00aeee" stroked="false">
                  <v:path arrowok="t"/>
                  <v:fill type="solid"/>
                </v:shape>
                <w10:wrap type="none"/>
              </v:group>
            </w:pict>
          </mc:Fallback>
        </mc:AlternateContent>
      </w:r>
      <w:r>
        <w:rPr>
          <w:rFonts w:ascii="Calibri"/>
          <w:color w:val="404040"/>
          <w:spacing w:val="-5"/>
          <w:sz w:val="18"/>
        </w:rPr>
        <w:t>0,8</w:t>
      </w:r>
    </w:p>
    <w:p>
      <w:pPr>
        <w:spacing w:before="6"/>
        <w:ind w:left="0" w:right="537" w:firstLine="0"/>
        <w:jc w:val="right"/>
        <w:rPr>
          <w:rFonts w:ascii="Calibri"/>
          <w:sz w:val="18"/>
        </w:rPr>
      </w:pPr>
      <w:r>
        <w:rPr>
          <w:rFonts w:ascii="Calibri"/>
          <w:color w:val="404040"/>
          <w:spacing w:val="-5"/>
          <w:sz w:val="18"/>
        </w:rPr>
        <w:t>0,9</w:t>
      </w:r>
    </w:p>
    <w:p>
      <w:pPr>
        <w:spacing w:before="6"/>
        <w:ind w:left="0" w:right="528" w:firstLine="0"/>
        <w:jc w:val="right"/>
        <w:rPr>
          <w:rFonts w:ascii="Calibri"/>
          <w:sz w:val="18"/>
        </w:rPr>
      </w:pPr>
      <w:r>
        <w:rPr>
          <w:rFonts w:ascii="Calibri"/>
          <w:color w:val="404040"/>
          <w:spacing w:val="-5"/>
          <w:sz w:val="18"/>
        </w:rPr>
        <w:t>1,2</w:t>
      </w:r>
    </w:p>
    <w:p>
      <w:pPr>
        <w:spacing w:before="5"/>
        <w:ind w:left="0" w:right="576" w:firstLine="0"/>
        <w:jc w:val="right"/>
        <w:rPr>
          <w:rFonts w:ascii="Calibri"/>
          <w:sz w:val="18"/>
        </w:rPr>
      </w:pPr>
      <w:r>
        <w:rPr>
          <w:rFonts w:ascii="Calibri"/>
          <w:color w:val="404040"/>
          <w:spacing w:val="-5"/>
          <w:sz w:val="18"/>
        </w:rPr>
        <w:t>0,0</w:t>
      </w:r>
    </w:p>
    <w:p>
      <w:pPr>
        <w:spacing w:before="6"/>
        <w:ind w:left="0" w:right="566" w:firstLine="0"/>
        <w:jc w:val="right"/>
        <w:rPr>
          <w:rFonts w:ascii="Calibri"/>
          <w:sz w:val="18"/>
        </w:rPr>
      </w:pPr>
      <w:r>
        <w:rPr>
          <w:rFonts w:ascii="Calibri"/>
          <w:color w:val="404040"/>
          <w:spacing w:val="-5"/>
          <w:sz w:val="18"/>
        </w:rPr>
        <w:t>0,3</w:t>
      </w:r>
    </w:p>
    <w:p>
      <w:pPr>
        <w:spacing w:before="11"/>
        <w:ind w:left="0" w:right="566" w:firstLine="0"/>
        <w:jc w:val="right"/>
        <w:rPr>
          <w:rFonts w:ascii="Calibri"/>
          <w:sz w:val="18"/>
        </w:rPr>
      </w:pPr>
      <w:r>
        <w:rPr>
          <w:rFonts w:ascii="Calibri"/>
          <w:color w:val="404040"/>
          <w:spacing w:val="-5"/>
          <w:sz w:val="18"/>
        </w:rPr>
        <w:t>0,3</w:t>
      </w:r>
    </w:p>
    <w:p>
      <w:pPr>
        <w:spacing w:before="6"/>
        <w:ind w:left="0" w:right="552" w:firstLine="0"/>
        <w:jc w:val="right"/>
        <w:rPr>
          <w:rFonts w:ascii="Calibri"/>
          <w:sz w:val="18"/>
        </w:rPr>
      </w:pPr>
      <w:r>
        <w:rPr>
          <w:rFonts w:ascii="Calibri"/>
          <w:color w:val="404040"/>
          <w:spacing w:val="-5"/>
          <w:sz w:val="18"/>
        </w:rPr>
        <w:t>0,6</w:t>
      </w:r>
    </w:p>
    <w:p>
      <w:pPr>
        <w:spacing w:before="6"/>
        <w:ind w:left="0" w:right="571" w:firstLine="0"/>
        <w:jc w:val="right"/>
        <w:rPr>
          <w:rFonts w:ascii="Calibri"/>
          <w:sz w:val="18"/>
        </w:rPr>
      </w:pPr>
      <w:r>
        <w:rPr>
          <w:rFonts w:ascii="Calibri"/>
          <w:color w:val="404040"/>
          <w:spacing w:val="-5"/>
          <w:sz w:val="18"/>
        </w:rPr>
        <w:t>0,2</w:t>
      </w:r>
    </w:p>
    <w:p>
      <w:pPr>
        <w:spacing w:before="6"/>
        <w:ind w:left="0" w:right="542" w:firstLine="0"/>
        <w:jc w:val="right"/>
        <w:rPr>
          <w:rFonts w:ascii="Calibri"/>
          <w:sz w:val="18"/>
        </w:rPr>
      </w:pPr>
      <w:r>
        <w:rPr>
          <w:rFonts w:ascii="Calibri"/>
          <w:color w:val="404040"/>
          <w:spacing w:val="-5"/>
          <w:sz w:val="18"/>
        </w:rPr>
        <w:t>0,9</w:t>
      </w:r>
    </w:p>
    <w:p>
      <w:pPr>
        <w:spacing w:before="6"/>
        <w:ind w:left="0" w:right="446" w:firstLine="0"/>
        <w:jc w:val="right"/>
        <w:rPr>
          <w:rFonts w:ascii="Calibri"/>
          <w:sz w:val="18"/>
        </w:rPr>
      </w:pPr>
      <w:r>
        <w:rPr>
          <w:rFonts w:ascii="Calibri"/>
          <w:color w:val="404040"/>
          <w:spacing w:val="-5"/>
          <w:sz w:val="18"/>
        </w:rPr>
        <w:t>3,1</w:t>
      </w:r>
    </w:p>
    <w:p>
      <w:pPr>
        <w:spacing w:before="6"/>
        <w:ind w:left="400" w:right="0" w:firstLine="0"/>
        <w:jc w:val="left"/>
        <w:rPr>
          <w:rFonts w:ascii="Calibri"/>
          <w:sz w:val="18"/>
        </w:rPr>
      </w:pPr>
      <w:r>
        <w:rPr>
          <w:rFonts w:ascii="Calibri"/>
          <w:color w:val="404040"/>
          <w:spacing w:val="-5"/>
          <w:sz w:val="18"/>
        </w:rPr>
        <w:t>6,4</w:t>
      </w:r>
    </w:p>
    <w:p>
      <w:pPr>
        <w:spacing w:before="6"/>
        <w:ind w:left="131" w:right="0" w:firstLine="0"/>
        <w:jc w:val="left"/>
        <w:rPr>
          <w:rFonts w:ascii="Calibri"/>
          <w:sz w:val="18"/>
        </w:rPr>
      </w:pPr>
      <w:r>
        <w:rPr>
          <w:rFonts w:ascii="Calibri"/>
          <w:color w:val="404040"/>
          <w:spacing w:val="-5"/>
          <w:sz w:val="18"/>
        </w:rPr>
        <w:t>0,0</w:t>
      </w:r>
    </w:p>
    <w:p>
      <w:pPr>
        <w:spacing w:before="6"/>
        <w:ind w:left="131" w:right="0" w:firstLine="0"/>
        <w:jc w:val="left"/>
        <w:rPr>
          <w:rFonts w:ascii="Calibri"/>
          <w:sz w:val="18"/>
        </w:rPr>
      </w:pPr>
      <w:r>
        <w:rPr>
          <w:rFonts w:ascii="Calibri"/>
          <w:color w:val="404040"/>
          <w:spacing w:val="-5"/>
          <w:sz w:val="18"/>
        </w:rPr>
        <w:t>0,0</w:t>
      </w:r>
    </w:p>
    <w:p>
      <w:pPr>
        <w:spacing w:before="6"/>
        <w:ind w:left="280" w:right="0" w:firstLine="0"/>
        <w:jc w:val="left"/>
        <w:rPr>
          <w:rFonts w:ascii="Calibri"/>
          <w:sz w:val="18"/>
        </w:rPr>
      </w:pPr>
      <w:r>
        <w:rPr>
          <w:rFonts w:ascii="Calibri"/>
          <w:color w:val="404040"/>
          <w:spacing w:val="-5"/>
          <w:sz w:val="18"/>
        </w:rPr>
        <w:t>3,5</w:t>
      </w:r>
    </w:p>
    <w:p>
      <w:pPr>
        <w:pStyle w:val="BodyText"/>
        <w:spacing w:before="11"/>
        <w:jc w:val="left"/>
        <w:rPr>
          <w:rFonts w:ascii="Calibri"/>
          <w:sz w:val="18"/>
        </w:rPr>
      </w:pPr>
    </w:p>
    <w:p>
      <w:pPr>
        <w:spacing w:before="1"/>
        <w:ind w:left="583" w:right="0" w:firstLine="0"/>
        <w:jc w:val="left"/>
        <w:rPr>
          <w:rFonts w:ascii="Calibri"/>
          <w:sz w:val="18"/>
        </w:rPr>
      </w:pPr>
      <w:r>
        <w:rPr>
          <w:rFonts w:ascii="Calibri"/>
          <w:color w:val="404040"/>
          <w:spacing w:val="-4"/>
          <w:sz w:val="18"/>
        </w:rPr>
        <w:t>10,7</w:t>
      </w:r>
    </w:p>
    <w:p>
      <w:pPr>
        <w:spacing w:line="240" w:lineRule="auto" w:before="0"/>
        <w:rPr>
          <w:rFonts w:ascii="Calibri"/>
          <w:sz w:val="18"/>
        </w:rPr>
      </w:pPr>
      <w:r>
        <w:rPr/>
        <w:br w:type="column"/>
      </w:r>
      <w:r>
        <w:rPr>
          <w:rFonts w:ascii="Calibri"/>
          <w:sz w:val="18"/>
        </w:rPr>
      </w: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jc w:val="left"/>
        <w:rPr>
          <w:rFonts w:ascii="Calibri"/>
          <w:sz w:val="18"/>
        </w:rPr>
      </w:pPr>
    </w:p>
    <w:p>
      <w:pPr>
        <w:pStyle w:val="BodyText"/>
        <w:spacing w:before="169"/>
        <w:jc w:val="left"/>
        <w:rPr>
          <w:rFonts w:ascii="Calibri"/>
          <w:sz w:val="18"/>
        </w:rPr>
      </w:pPr>
    </w:p>
    <w:p>
      <w:pPr>
        <w:spacing w:before="0"/>
        <w:ind w:left="2102" w:right="0" w:firstLine="0"/>
        <w:jc w:val="left"/>
        <w:rPr>
          <w:rFonts w:ascii="Calibri"/>
          <w:sz w:val="18"/>
        </w:rPr>
      </w:pPr>
      <w:r>
        <w:rPr>
          <w:rFonts w:ascii="Calibri"/>
          <w:color w:val="404040"/>
          <w:spacing w:val="-4"/>
          <w:sz w:val="18"/>
        </w:rPr>
        <w:t>70,8</w:t>
      </w:r>
    </w:p>
    <w:p>
      <w:pPr>
        <w:spacing w:after="0"/>
        <w:jc w:val="left"/>
        <w:rPr>
          <w:rFonts w:ascii="Calibri"/>
          <w:sz w:val="18"/>
        </w:rPr>
        <w:sectPr>
          <w:type w:val="continuous"/>
          <w:pgSz w:w="11910" w:h="16840"/>
          <w:pgMar w:header="0" w:footer="1186" w:top="1760" w:bottom="1640" w:left="1700" w:right="992"/>
          <w:cols w:num="3" w:equalWidth="0">
            <w:col w:w="4938" w:space="40"/>
            <w:col w:w="946" w:space="83"/>
            <w:col w:w="3211"/>
          </w:cols>
        </w:sectPr>
      </w:pPr>
    </w:p>
    <w:p>
      <w:pPr>
        <w:pStyle w:val="BodyText"/>
        <w:spacing w:before="218"/>
        <w:jc w:val="left"/>
        <w:rPr>
          <w:rFonts w:ascii="Calibri"/>
          <w:sz w:val="18"/>
        </w:rPr>
      </w:pPr>
    </w:p>
    <w:p>
      <w:pPr>
        <w:spacing w:before="0"/>
        <w:ind w:left="4873" w:right="0" w:firstLine="0"/>
        <w:jc w:val="left"/>
        <w:rPr>
          <w:rFonts w:ascii="Calibri"/>
          <w:sz w:val="18"/>
        </w:rPr>
      </w:pPr>
      <w:r>
        <w:rPr>
          <w:rFonts w:ascii="Calibri"/>
          <w:color w:val="575757"/>
          <w:sz w:val="18"/>
        </w:rPr>
        <w:t>0,0</w:t>
      </w:r>
      <w:r>
        <w:rPr>
          <w:rFonts w:ascii="Calibri"/>
          <w:color w:val="575757"/>
          <w:spacing w:val="67"/>
          <w:sz w:val="18"/>
        </w:rPr>
        <w:t> </w:t>
      </w:r>
      <w:r>
        <w:rPr>
          <w:rFonts w:ascii="Calibri"/>
          <w:color w:val="575757"/>
          <w:sz w:val="18"/>
        </w:rPr>
        <w:t>10,0</w:t>
      </w:r>
      <w:r>
        <w:rPr>
          <w:rFonts w:ascii="Calibri"/>
          <w:color w:val="575757"/>
          <w:spacing w:val="58"/>
          <w:sz w:val="18"/>
        </w:rPr>
        <w:t> </w:t>
      </w:r>
      <w:r>
        <w:rPr>
          <w:rFonts w:ascii="Calibri"/>
          <w:color w:val="575757"/>
          <w:sz w:val="18"/>
        </w:rPr>
        <w:t>20,0</w:t>
      </w:r>
      <w:r>
        <w:rPr>
          <w:rFonts w:ascii="Calibri"/>
          <w:color w:val="575757"/>
          <w:spacing w:val="58"/>
          <w:sz w:val="18"/>
        </w:rPr>
        <w:t> </w:t>
      </w:r>
      <w:r>
        <w:rPr>
          <w:rFonts w:ascii="Calibri"/>
          <w:color w:val="575757"/>
          <w:sz w:val="18"/>
        </w:rPr>
        <w:t>30,0</w:t>
      </w:r>
      <w:r>
        <w:rPr>
          <w:rFonts w:ascii="Calibri"/>
          <w:color w:val="575757"/>
          <w:spacing w:val="64"/>
          <w:sz w:val="18"/>
        </w:rPr>
        <w:t> </w:t>
      </w:r>
      <w:r>
        <w:rPr>
          <w:rFonts w:ascii="Calibri"/>
          <w:color w:val="575757"/>
          <w:sz w:val="18"/>
        </w:rPr>
        <w:t>40,0</w:t>
      </w:r>
      <w:r>
        <w:rPr>
          <w:rFonts w:ascii="Calibri"/>
          <w:color w:val="575757"/>
          <w:spacing w:val="63"/>
          <w:sz w:val="18"/>
        </w:rPr>
        <w:t> </w:t>
      </w:r>
      <w:r>
        <w:rPr>
          <w:rFonts w:ascii="Calibri"/>
          <w:color w:val="575757"/>
          <w:sz w:val="18"/>
        </w:rPr>
        <w:t>50,0</w:t>
      </w:r>
      <w:r>
        <w:rPr>
          <w:rFonts w:ascii="Calibri"/>
          <w:color w:val="575757"/>
          <w:spacing w:val="62"/>
          <w:sz w:val="18"/>
        </w:rPr>
        <w:t> </w:t>
      </w:r>
      <w:r>
        <w:rPr>
          <w:rFonts w:ascii="Calibri"/>
          <w:color w:val="575757"/>
          <w:sz w:val="18"/>
        </w:rPr>
        <w:t>60,0</w:t>
      </w:r>
      <w:r>
        <w:rPr>
          <w:rFonts w:ascii="Calibri"/>
          <w:color w:val="575757"/>
          <w:spacing w:val="63"/>
          <w:sz w:val="18"/>
        </w:rPr>
        <w:t> </w:t>
      </w:r>
      <w:r>
        <w:rPr>
          <w:rFonts w:ascii="Calibri"/>
          <w:color w:val="575757"/>
          <w:sz w:val="18"/>
        </w:rPr>
        <w:t>70,0</w:t>
      </w:r>
      <w:r>
        <w:rPr>
          <w:rFonts w:ascii="Calibri"/>
          <w:color w:val="575757"/>
          <w:spacing w:val="58"/>
          <w:sz w:val="18"/>
        </w:rPr>
        <w:t> </w:t>
      </w:r>
      <w:r>
        <w:rPr>
          <w:rFonts w:ascii="Calibri"/>
          <w:color w:val="575757"/>
          <w:spacing w:val="-4"/>
          <w:sz w:val="18"/>
        </w:rPr>
        <w:t>80,0</w:t>
      </w:r>
    </w:p>
    <w:p>
      <w:pPr>
        <w:pStyle w:val="BodyText"/>
        <w:spacing w:before="86"/>
        <w:jc w:val="left"/>
        <w:rPr>
          <w:rFonts w:ascii="Calibri"/>
          <w:sz w:val="18"/>
        </w:rPr>
      </w:pPr>
    </w:p>
    <w:p>
      <w:pPr>
        <w:spacing w:before="0"/>
        <w:ind w:left="768" w:right="0" w:firstLine="0"/>
        <w:jc w:val="left"/>
        <w:rPr>
          <w:rFonts w:ascii="Lucida Sans Unicode"/>
          <w:sz w:val="22"/>
        </w:rPr>
      </w:pPr>
      <w:bookmarkStart w:name="_bookmark44" w:id="45"/>
      <w:bookmarkEnd w:id="45"/>
      <w:r>
        <w:rPr/>
      </w:r>
      <w:r>
        <w:rPr>
          <w:rFonts w:ascii="Tahoma"/>
          <w:b/>
          <w:sz w:val="22"/>
        </w:rPr>
        <w:t>Gambar</w:t>
      </w:r>
      <w:r>
        <w:rPr>
          <w:rFonts w:ascii="Tahoma"/>
          <w:b/>
          <w:spacing w:val="-8"/>
          <w:sz w:val="22"/>
        </w:rPr>
        <w:t> </w:t>
      </w:r>
      <w:r>
        <w:rPr>
          <w:rFonts w:ascii="Tahoma"/>
          <w:b/>
          <w:sz w:val="22"/>
        </w:rPr>
        <w:t>6.</w:t>
      </w:r>
      <w:r>
        <w:rPr>
          <w:rFonts w:ascii="Tahoma"/>
          <w:b/>
          <w:spacing w:val="14"/>
          <w:sz w:val="22"/>
        </w:rPr>
        <w:t> </w:t>
      </w:r>
      <w:r>
        <w:rPr>
          <w:rFonts w:ascii="Lucida Sans Unicode"/>
          <w:sz w:val="22"/>
        </w:rPr>
        <w:t>Distribusi</w:t>
      </w:r>
      <w:r>
        <w:rPr>
          <w:rFonts w:ascii="Lucida Sans Unicode"/>
          <w:spacing w:val="15"/>
          <w:sz w:val="22"/>
        </w:rPr>
        <w:t> </w:t>
      </w:r>
      <w:r>
        <w:rPr>
          <w:rFonts w:ascii="Lucida Sans Unicode"/>
          <w:sz w:val="22"/>
        </w:rPr>
        <w:t>PDRB</w:t>
      </w:r>
      <w:r>
        <w:rPr>
          <w:rFonts w:ascii="Lucida Sans Unicode"/>
          <w:spacing w:val="8"/>
          <w:sz w:val="22"/>
        </w:rPr>
        <w:t> </w:t>
      </w:r>
      <w:r>
        <w:rPr>
          <w:rFonts w:ascii="Lucida Sans Unicode"/>
          <w:sz w:val="22"/>
        </w:rPr>
        <w:t>Kabupaten</w:t>
      </w:r>
      <w:r>
        <w:rPr>
          <w:rFonts w:ascii="Lucida Sans Unicode"/>
          <w:spacing w:val="9"/>
          <w:sz w:val="22"/>
        </w:rPr>
        <w:t> </w:t>
      </w:r>
      <w:r>
        <w:rPr>
          <w:rFonts w:ascii="Lucida Sans Unicode"/>
          <w:sz w:val="22"/>
        </w:rPr>
        <w:t>Kutai</w:t>
      </w:r>
      <w:r>
        <w:rPr>
          <w:rFonts w:ascii="Lucida Sans Unicode"/>
          <w:spacing w:val="6"/>
          <w:sz w:val="22"/>
        </w:rPr>
        <w:t> </w:t>
      </w:r>
      <w:r>
        <w:rPr>
          <w:rFonts w:ascii="Lucida Sans Unicode"/>
          <w:sz w:val="22"/>
        </w:rPr>
        <w:t>Kartanegara</w:t>
      </w:r>
      <w:r>
        <w:rPr>
          <w:rFonts w:ascii="Lucida Sans Unicode"/>
          <w:spacing w:val="11"/>
          <w:sz w:val="22"/>
        </w:rPr>
        <w:t> </w:t>
      </w:r>
      <w:r>
        <w:rPr>
          <w:rFonts w:ascii="Lucida Sans Unicode"/>
          <w:sz w:val="22"/>
        </w:rPr>
        <w:t>Tahun</w:t>
      </w:r>
      <w:r>
        <w:rPr>
          <w:rFonts w:ascii="Lucida Sans Unicode"/>
          <w:spacing w:val="9"/>
          <w:sz w:val="22"/>
        </w:rPr>
        <w:t> </w:t>
      </w:r>
      <w:r>
        <w:rPr>
          <w:rFonts w:ascii="Lucida Sans Unicode"/>
          <w:spacing w:val="-4"/>
          <w:sz w:val="22"/>
        </w:rPr>
        <w:t>2022</w:t>
      </w:r>
    </w:p>
    <w:p>
      <w:pPr>
        <w:pStyle w:val="BodyText"/>
        <w:spacing w:before="177"/>
        <w:ind w:left="566"/>
        <w:jc w:val="left"/>
      </w:pPr>
      <w:r>
        <w:rPr>
          <w:i/>
        </w:rPr>
        <w:t>Sumbe</w:t>
      </w:r>
      <w:r>
        <w:rPr/>
        <w:t>r:</w:t>
      </w:r>
      <w:r>
        <w:rPr>
          <w:spacing w:val="-9"/>
        </w:rPr>
        <w:t> </w:t>
      </w:r>
      <w:r>
        <w:rPr/>
        <w:t>Diolah</w:t>
      </w:r>
      <w:r>
        <w:rPr>
          <w:spacing w:val="-5"/>
        </w:rPr>
        <w:t> </w:t>
      </w:r>
      <w:r>
        <w:rPr/>
        <w:t>dari</w:t>
      </w:r>
      <w:r>
        <w:rPr>
          <w:spacing w:val="-5"/>
        </w:rPr>
        <w:t> </w:t>
      </w:r>
      <w:r>
        <w:rPr/>
        <w:t>berbagai</w:t>
      </w:r>
      <w:r>
        <w:rPr>
          <w:spacing w:val="-4"/>
        </w:rPr>
        <w:t> </w:t>
      </w:r>
      <w:r>
        <w:rPr>
          <w:spacing w:val="-2"/>
        </w:rPr>
        <w:t>sumber.</w:t>
      </w:r>
    </w:p>
    <w:p>
      <w:pPr>
        <w:pStyle w:val="BodyText"/>
        <w:spacing w:before="5"/>
        <w:jc w:val="left"/>
      </w:pPr>
    </w:p>
    <w:p>
      <w:pPr>
        <w:pStyle w:val="BodyText"/>
        <w:spacing w:line="360" w:lineRule="auto"/>
        <w:ind w:left="1248" w:right="705" w:firstLine="720"/>
      </w:pPr>
      <w:r>
        <w:rPr/>
        <w:t>Adapun komposisi realisasi pendapatan Kabupaten Kutai Kartanegara pada tahun 2022 terbesar berasal dari bagi hasil bukan pajak (sumber daya alam), disusul dengan bagi hasil pajak dan dana bagi hasil pajak dari provinsi (lihat Gambar 7).</w:t>
      </w:r>
    </w:p>
    <w:p>
      <w:pPr>
        <w:pStyle w:val="BodyText"/>
        <w:spacing w:line="362" w:lineRule="auto"/>
        <w:ind w:left="1248" w:right="703" w:firstLine="720"/>
      </w:pPr>
      <w:r>
        <w:rPr/>
        <w:t>Berdasarkan distribusi PDRB dan komposisi realisasi pendapatan</w:t>
      </w:r>
      <w:r>
        <w:rPr>
          <w:spacing w:val="40"/>
        </w:rPr>
        <w:t> </w:t>
      </w:r>
      <w:r>
        <w:rPr/>
        <w:t>Kabupaten</w:t>
      </w:r>
      <w:r>
        <w:rPr>
          <w:spacing w:val="40"/>
        </w:rPr>
        <w:t> </w:t>
      </w:r>
      <w:r>
        <w:rPr/>
        <w:t>Kutai</w:t>
      </w:r>
      <w:r>
        <w:rPr>
          <w:spacing w:val="40"/>
        </w:rPr>
        <w:t> </w:t>
      </w:r>
      <w:r>
        <w:rPr/>
        <w:t>Kartanegara</w:t>
      </w:r>
      <w:r>
        <w:rPr>
          <w:spacing w:val="40"/>
        </w:rPr>
        <w:t> </w:t>
      </w:r>
      <w:r>
        <w:rPr/>
        <w:t>tampak</w:t>
      </w:r>
      <w:r>
        <w:rPr>
          <w:spacing w:val="40"/>
        </w:rPr>
        <w:t> </w:t>
      </w:r>
      <w:r>
        <w:rPr/>
        <w:t>bahwa</w:t>
      </w:r>
    </w:p>
    <w:p>
      <w:pPr>
        <w:pStyle w:val="BodyText"/>
        <w:spacing w:after="0" w:line="362" w:lineRule="auto"/>
        <w:sectPr>
          <w:type w:val="continuous"/>
          <w:pgSz w:w="11910" w:h="16840"/>
          <w:pgMar w:header="0" w:footer="1186" w:top="1760" w:bottom="1640" w:left="1700" w:right="992"/>
        </w:sectPr>
      </w:pPr>
    </w:p>
    <w:p>
      <w:pPr>
        <w:pStyle w:val="BodyText"/>
        <w:spacing w:line="360" w:lineRule="auto" w:before="82"/>
        <w:ind w:left="1248" w:right="699"/>
      </w:pPr>
      <w:r>
        <w:rPr/>
        <w:t>ketergantungan terhadap sumber daya alam tinggi. DBH sumber daya</w:t>
      </w:r>
      <w:r>
        <w:rPr>
          <w:spacing w:val="-3"/>
        </w:rPr>
        <w:t> </w:t>
      </w:r>
      <w:r>
        <w:rPr/>
        <w:t>alam</w:t>
      </w:r>
      <w:r>
        <w:rPr>
          <w:spacing w:val="-1"/>
        </w:rPr>
        <w:t> </w:t>
      </w:r>
      <w:r>
        <w:rPr/>
        <w:t>berkontribusi</w:t>
      </w:r>
      <w:r>
        <w:rPr>
          <w:spacing w:val="-1"/>
        </w:rPr>
        <w:t> </w:t>
      </w:r>
      <w:r>
        <w:rPr/>
        <w:t>57,5 persen. Adapun kontribusi</w:t>
      </w:r>
      <w:r>
        <w:rPr>
          <w:spacing w:val="-1"/>
        </w:rPr>
        <w:t> </w:t>
      </w:r>
      <w:r>
        <w:rPr/>
        <w:t>Pendapatan Asli Daerah (PAD) rendah. Kontribusi pajak daerah hanya 1,9 persen, dan</w:t>
      </w:r>
      <w:r>
        <w:rPr>
          <w:spacing w:val="-14"/>
        </w:rPr>
        <w:t> </w:t>
      </w:r>
      <w:r>
        <w:rPr/>
        <w:t>konstribusi</w:t>
      </w:r>
      <w:r>
        <w:rPr>
          <w:spacing w:val="-12"/>
        </w:rPr>
        <w:t> </w:t>
      </w:r>
      <w:r>
        <w:rPr/>
        <w:t>retribusi</w:t>
      </w:r>
      <w:r>
        <w:rPr>
          <w:spacing w:val="-13"/>
        </w:rPr>
        <w:t> </w:t>
      </w:r>
      <w:r>
        <w:rPr/>
        <w:t>daerah</w:t>
      </w:r>
      <w:r>
        <w:rPr>
          <w:spacing w:val="-13"/>
        </w:rPr>
        <w:t> </w:t>
      </w:r>
      <w:r>
        <w:rPr/>
        <w:t>hanya</w:t>
      </w:r>
      <w:r>
        <w:rPr>
          <w:spacing w:val="-14"/>
        </w:rPr>
        <w:t> </w:t>
      </w:r>
      <w:r>
        <w:rPr/>
        <w:t>0,1</w:t>
      </w:r>
      <w:r>
        <w:rPr>
          <w:spacing w:val="-12"/>
        </w:rPr>
        <w:t> </w:t>
      </w:r>
      <w:r>
        <w:rPr/>
        <w:t>persen.</w:t>
      </w:r>
      <w:r>
        <w:rPr>
          <w:spacing w:val="-11"/>
        </w:rPr>
        <w:t> </w:t>
      </w:r>
      <w:r>
        <w:rPr/>
        <w:t>Adapun</w:t>
      </w:r>
      <w:r>
        <w:rPr>
          <w:spacing w:val="-14"/>
        </w:rPr>
        <w:t> </w:t>
      </w:r>
      <w:r>
        <w:rPr/>
        <w:t>sektor</w:t>
      </w:r>
      <w:r>
        <w:rPr>
          <w:spacing w:val="-14"/>
        </w:rPr>
        <w:t> </w:t>
      </w:r>
      <w:r>
        <w:rPr/>
        <w:t>jasa belum</w:t>
      </w:r>
      <w:r>
        <w:rPr>
          <w:spacing w:val="-16"/>
        </w:rPr>
        <w:t> </w:t>
      </w:r>
      <w:r>
        <w:rPr/>
        <w:t>berkembang.</w:t>
      </w:r>
      <w:r>
        <w:rPr>
          <w:spacing w:val="-14"/>
        </w:rPr>
        <w:t> </w:t>
      </w:r>
      <w:r>
        <w:rPr/>
        <w:t>Kontribusi</w:t>
      </w:r>
      <w:r>
        <w:rPr>
          <w:spacing w:val="-16"/>
        </w:rPr>
        <w:t> </w:t>
      </w:r>
      <w:r>
        <w:rPr/>
        <w:t>sektor</w:t>
      </w:r>
      <w:r>
        <w:rPr>
          <w:spacing w:val="-16"/>
        </w:rPr>
        <w:t> </w:t>
      </w:r>
      <w:r>
        <w:rPr/>
        <w:t>perdagangan</w:t>
      </w:r>
      <w:r>
        <w:rPr>
          <w:spacing w:val="-16"/>
        </w:rPr>
        <w:t> </w:t>
      </w:r>
      <w:r>
        <w:rPr/>
        <w:t>besar</w:t>
      </w:r>
      <w:r>
        <w:rPr>
          <w:spacing w:val="-16"/>
        </w:rPr>
        <w:t> </w:t>
      </w:r>
      <w:r>
        <w:rPr/>
        <w:t>dan</w:t>
      </w:r>
      <w:r>
        <w:rPr>
          <w:spacing w:val="-16"/>
        </w:rPr>
        <w:t> </w:t>
      </w:r>
      <w:r>
        <w:rPr/>
        <w:t>eceran dalam PDRB hanya menyumbang 3,1 persen.</w:t>
      </w:r>
    </w:p>
    <w:p>
      <w:pPr>
        <w:spacing w:line="288" w:lineRule="auto" w:before="269"/>
        <w:ind w:left="792" w:right="5005" w:firstLine="1531"/>
        <w:jc w:val="left"/>
        <w:rPr>
          <w:rFonts w:ascii="Calibri" w:hAnsi="Calibri"/>
          <w:sz w:val="20"/>
        </w:rPr>
      </w:pPr>
      <w:r>
        <w:rPr>
          <w:rFonts w:ascii="Calibri" w:hAnsi="Calibri"/>
          <w:sz w:val="20"/>
        </w:rPr>
        <mc:AlternateContent>
          <mc:Choice Requires="wps">
            <w:drawing>
              <wp:anchor distT="0" distB="0" distL="0" distR="0" allowOverlap="1" layoutInCell="1" locked="0" behindDoc="0" simplePos="0" relativeHeight="15730688">
                <wp:simplePos x="0" y="0"/>
                <wp:positionH relativeFrom="page">
                  <wp:posOffset>3622040</wp:posOffset>
                </wp:positionH>
                <wp:positionV relativeFrom="paragraph">
                  <wp:posOffset>160039</wp:posOffset>
                </wp:positionV>
                <wp:extent cx="2569210" cy="241808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569210" cy="2418080"/>
                          <a:chExt cx="2569210" cy="2418080"/>
                        </a:xfrm>
                      </wpg:grpSpPr>
                      <wps:wsp>
                        <wps:cNvPr id="17" name="Graphic 17"/>
                        <wps:cNvSpPr/>
                        <wps:spPr>
                          <a:xfrm>
                            <a:off x="0" y="0"/>
                            <a:ext cx="2564130" cy="2418080"/>
                          </a:xfrm>
                          <a:custGeom>
                            <a:avLst/>
                            <a:gdLst/>
                            <a:ahLst/>
                            <a:cxnLst/>
                            <a:rect l="l" t="t" r="r" b="b"/>
                            <a:pathLst>
                              <a:path w="2564130" h="2418080">
                                <a:moveTo>
                                  <a:pt x="2564130" y="0"/>
                                </a:moveTo>
                                <a:lnTo>
                                  <a:pt x="0" y="0"/>
                                </a:lnTo>
                                <a:lnTo>
                                  <a:pt x="0" y="2418079"/>
                                </a:lnTo>
                                <a:lnTo>
                                  <a:pt x="2564130" y="2418079"/>
                                </a:lnTo>
                                <a:lnTo>
                                  <a:pt x="2564130" y="0"/>
                                </a:lnTo>
                                <a:close/>
                              </a:path>
                            </a:pathLst>
                          </a:custGeom>
                          <a:solidFill>
                            <a:srgbClr val="F0F0F0"/>
                          </a:solidFill>
                        </wps:spPr>
                        <wps:bodyPr wrap="square" lIns="0" tIns="0" rIns="0" bIns="0" rtlCol="0">
                          <a:prstTxWarp prst="textNoShape">
                            <a:avLst/>
                          </a:prstTxWarp>
                          <a:noAutofit/>
                        </wps:bodyPr>
                      </wps:wsp>
                      <wps:wsp>
                        <wps:cNvPr id="18" name="Graphic 18"/>
                        <wps:cNvSpPr/>
                        <wps:spPr>
                          <a:xfrm>
                            <a:off x="641350" y="0"/>
                            <a:ext cx="1922780" cy="2418080"/>
                          </a:xfrm>
                          <a:custGeom>
                            <a:avLst/>
                            <a:gdLst/>
                            <a:ahLst/>
                            <a:cxnLst/>
                            <a:rect l="l" t="t" r="r" b="b"/>
                            <a:pathLst>
                              <a:path w="1922780" h="2418080">
                                <a:moveTo>
                                  <a:pt x="0" y="1242059"/>
                                </a:moveTo>
                                <a:lnTo>
                                  <a:pt x="0" y="2418079"/>
                                </a:lnTo>
                              </a:path>
                              <a:path w="1922780" h="2418080">
                                <a:moveTo>
                                  <a:pt x="0" y="0"/>
                                </a:moveTo>
                                <a:lnTo>
                                  <a:pt x="0" y="1176019"/>
                                </a:lnTo>
                              </a:path>
                              <a:path w="1922780" h="2418080">
                                <a:moveTo>
                                  <a:pt x="640714" y="1242059"/>
                                </a:moveTo>
                                <a:lnTo>
                                  <a:pt x="640714" y="2418079"/>
                                </a:lnTo>
                              </a:path>
                              <a:path w="1922780" h="2418080">
                                <a:moveTo>
                                  <a:pt x="640714" y="0"/>
                                </a:moveTo>
                                <a:lnTo>
                                  <a:pt x="640714" y="1176019"/>
                                </a:lnTo>
                              </a:path>
                              <a:path w="1922780" h="2418080">
                                <a:moveTo>
                                  <a:pt x="1281430" y="0"/>
                                </a:moveTo>
                                <a:lnTo>
                                  <a:pt x="1281430" y="2418079"/>
                                </a:lnTo>
                              </a:path>
                              <a:path w="1922780" h="2418080">
                                <a:moveTo>
                                  <a:pt x="1922780" y="0"/>
                                </a:moveTo>
                                <a:lnTo>
                                  <a:pt x="1922780" y="2418079"/>
                                </a:lnTo>
                              </a:path>
                            </a:pathLst>
                          </a:custGeom>
                          <a:ln w="9525">
                            <a:solidFill>
                              <a:srgbClr val="D9D9D9"/>
                            </a:solidFill>
                            <a:prstDash val="solid"/>
                          </a:ln>
                        </wps:spPr>
                        <wps:bodyPr wrap="square" lIns="0" tIns="0" rIns="0" bIns="0" rtlCol="0">
                          <a:prstTxWarp prst="textNoShape">
                            <a:avLst/>
                          </a:prstTxWarp>
                          <a:noAutofit/>
                        </wps:bodyPr>
                      </wps:wsp>
                      <wps:wsp>
                        <wps:cNvPr id="19" name="Graphic 19"/>
                        <wps:cNvSpPr/>
                        <wps:spPr>
                          <a:xfrm>
                            <a:off x="0" y="1176019"/>
                            <a:ext cx="1844675" cy="66040"/>
                          </a:xfrm>
                          <a:custGeom>
                            <a:avLst/>
                            <a:gdLst/>
                            <a:ahLst/>
                            <a:cxnLst/>
                            <a:rect l="l" t="t" r="r" b="b"/>
                            <a:pathLst>
                              <a:path w="1844675" h="66040">
                                <a:moveTo>
                                  <a:pt x="1844675" y="0"/>
                                </a:moveTo>
                                <a:lnTo>
                                  <a:pt x="0" y="0"/>
                                </a:lnTo>
                                <a:lnTo>
                                  <a:pt x="0" y="66039"/>
                                </a:lnTo>
                                <a:lnTo>
                                  <a:pt x="1844675" y="66039"/>
                                </a:lnTo>
                                <a:lnTo>
                                  <a:pt x="1844675" y="0"/>
                                </a:lnTo>
                                <a:close/>
                              </a:path>
                            </a:pathLst>
                          </a:custGeom>
                          <a:solidFill>
                            <a:srgbClr val="B3A0C5"/>
                          </a:solidFill>
                        </wps:spPr>
                        <wps:bodyPr wrap="square" lIns="0" tIns="0" rIns="0" bIns="0" rtlCol="0">
                          <a:prstTxWarp prst="textNoShape">
                            <a:avLst/>
                          </a:prstTxWarp>
                          <a:noAutofit/>
                        </wps:bodyPr>
                      </wps:wsp>
                      <wps:wsp>
                        <wps:cNvPr id="20" name="Graphic 20"/>
                        <wps:cNvSpPr/>
                        <wps:spPr>
                          <a:xfrm>
                            <a:off x="0" y="60324"/>
                            <a:ext cx="403860" cy="2298700"/>
                          </a:xfrm>
                          <a:custGeom>
                            <a:avLst/>
                            <a:gdLst/>
                            <a:ahLst/>
                            <a:cxnLst/>
                            <a:rect l="l" t="t" r="r" b="b"/>
                            <a:pathLst>
                              <a:path w="403860" h="2298700">
                                <a:moveTo>
                                  <a:pt x="1270" y="0"/>
                                </a:moveTo>
                                <a:lnTo>
                                  <a:pt x="0" y="0"/>
                                </a:lnTo>
                                <a:lnTo>
                                  <a:pt x="0" y="66040"/>
                                </a:lnTo>
                                <a:lnTo>
                                  <a:pt x="1270" y="66040"/>
                                </a:lnTo>
                                <a:lnTo>
                                  <a:pt x="1270" y="0"/>
                                </a:lnTo>
                                <a:close/>
                              </a:path>
                              <a:path w="403860" h="2298700">
                                <a:moveTo>
                                  <a:pt x="1905" y="2045970"/>
                                </a:moveTo>
                                <a:lnTo>
                                  <a:pt x="0" y="2045970"/>
                                </a:lnTo>
                                <a:lnTo>
                                  <a:pt x="0" y="2112010"/>
                                </a:lnTo>
                                <a:lnTo>
                                  <a:pt x="1905" y="2112010"/>
                                </a:lnTo>
                                <a:lnTo>
                                  <a:pt x="1905" y="2045970"/>
                                </a:lnTo>
                                <a:close/>
                              </a:path>
                              <a:path w="403860" h="2298700">
                                <a:moveTo>
                                  <a:pt x="8890" y="1674495"/>
                                </a:moveTo>
                                <a:lnTo>
                                  <a:pt x="0" y="1674495"/>
                                </a:lnTo>
                                <a:lnTo>
                                  <a:pt x="0" y="1739900"/>
                                </a:lnTo>
                                <a:lnTo>
                                  <a:pt x="8890" y="1739900"/>
                                </a:lnTo>
                                <a:lnTo>
                                  <a:pt x="8890" y="1674495"/>
                                </a:lnTo>
                                <a:close/>
                              </a:path>
                              <a:path w="403860" h="2298700">
                                <a:moveTo>
                                  <a:pt x="18415" y="186055"/>
                                </a:moveTo>
                                <a:lnTo>
                                  <a:pt x="0" y="186055"/>
                                </a:lnTo>
                                <a:lnTo>
                                  <a:pt x="0" y="252730"/>
                                </a:lnTo>
                                <a:lnTo>
                                  <a:pt x="18415" y="252730"/>
                                </a:lnTo>
                                <a:lnTo>
                                  <a:pt x="18415" y="186055"/>
                                </a:lnTo>
                                <a:close/>
                              </a:path>
                              <a:path w="403860" h="2298700">
                                <a:moveTo>
                                  <a:pt x="61595" y="2232025"/>
                                </a:moveTo>
                                <a:lnTo>
                                  <a:pt x="0" y="2232025"/>
                                </a:lnTo>
                                <a:lnTo>
                                  <a:pt x="0" y="2298700"/>
                                </a:lnTo>
                                <a:lnTo>
                                  <a:pt x="61595" y="2298700"/>
                                </a:lnTo>
                                <a:lnTo>
                                  <a:pt x="61595" y="2232025"/>
                                </a:lnTo>
                                <a:close/>
                              </a:path>
                              <a:path w="403860" h="2298700">
                                <a:moveTo>
                                  <a:pt x="71755" y="558165"/>
                                </a:moveTo>
                                <a:lnTo>
                                  <a:pt x="0" y="558165"/>
                                </a:lnTo>
                                <a:lnTo>
                                  <a:pt x="0" y="624205"/>
                                </a:lnTo>
                                <a:lnTo>
                                  <a:pt x="71755" y="624205"/>
                                </a:lnTo>
                                <a:lnTo>
                                  <a:pt x="71755" y="558165"/>
                                </a:lnTo>
                                <a:close/>
                              </a:path>
                              <a:path w="403860" h="2298700">
                                <a:moveTo>
                                  <a:pt x="172085" y="1488440"/>
                                </a:moveTo>
                                <a:lnTo>
                                  <a:pt x="0" y="1488440"/>
                                </a:lnTo>
                                <a:lnTo>
                                  <a:pt x="0" y="1553845"/>
                                </a:lnTo>
                                <a:lnTo>
                                  <a:pt x="172085" y="1553845"/>
                                </a:lnTo>
                                <a:lnTo>
                                  <a:pt x="172085" y="1488440"/>
                                </a:lnTo>
                                <a:close/>
                              </a:path>
                              <a:path w="403860" h="2298700">
                                <a:moveTo>
                                  <a:pt x="180975" y="744220"/>
                                </a:moveTo>
                                <a:lnTo>
                                  <a:pt x="0" y="744220"/>
                                </a:lnTo>
                                <a:lnTo>
                                  <a:pt x="0" y="810260"/>
                                </a:lnTo>
                                <a:lnTo>
                                  <a:pt x="180975" y="810260"/>
                                </a:lnTo>
                                <a:lnTo>
                                  <a:pt x="180975" y="744220"/>
                                </a:lnTo>
                                <a:close/>
                              </a:path>
                              <a:path w="403860" h="2298700">
                                <a:moveTo>
                                  <a:pt x="191770" y="929640"/>
                                </a:moveTo>
                                <a:lnTo>
                                  <a:pt x="0" y="929640"/>
                                </a:lnTo>
                                <a:lnTo>
                                  <a:pt x="0" y="996315"/>
                                </a:lnTo>
                                <a:lnTo>
                                  <a:pt x="191770" y="996315"/>
                                </a:lnTo>
                                <a:lnTo>
                                  <a:pt x="191770" y="929640"/>
                                </a:lnTo>
                                <a:close/>
                              </a:path>
                              <a:path w="403860" h="2298700">
                                <a:moveTo>
                                  <a:pt x="245745" y="372110"/>
                                </a:moveTo>
                                <a:lnTo>
                                  <a:pt x="0" y="372110"/>
                                </a:lnTo>
                                <a:lnTo>
                                  <a:pt x="0" y="438150"/>
                                </a:lnTo>
                                <a:lnTo>
                                  <a:pt x="245745" y="438150"/>
                                </a:lnTo>
                                <a:lnTo>
                                  <a:pt x="245745" y="372110"/>
                                </a:lnTo>
                                <a:close/>
                              </a:path>
                              <a:path w="403860" h="2298700">
                                <a:moveTo>
                                  <a:pt x="403860" y="1302385"/>
                                </a:moveTo>
                                <a:lnTo>
                                  <a:pt x="0" y="1302385"/>
                                </a:lnTo>
                                <a:lnTo>
                                  <a:pt x="0" y="1367790"/>
                                </a:lnTo>
                                <a:lnTo>
                                  <a:pt x="403860" y="1367790"/>
                                </a:lnTo>
                                <a:lnTo>
                                  <a:pt x="403860" y="1302385"/>
                                </a:lnTo>
                                <a:close/>
                              </a:path>
                            </a:pathLst>
                          </a:custGeom>
                          <a:solidFill>
                            <a:srgbClr val="4F81BB"/>
                          </a:solidFill>
                        </wps:spPr>
                        <wps:bodyPr wrap="square" lIns="0" tIns="0" rIns="0" bIns="0" rtlCol="0">
                          <a:prstTxWarp prst="textNoShape">
                            <a:avLst/>
                          </a:prstTxWarp>
                          <a:noAutofit/>
                        </wps:bodyPr>
                      </wps:wsp>
                      <wps:wsp>
                        <wps:cNvPr id="21" name="Textbox 21"/>
                        <wps:cNvSpPr txBox="1"/>
                        <wps:spPr>
                          <a:xfrm>
                            <a:off x="1921382" y="1166749"/>
                            <a:ext cx="239395" cy="128270"/>
                          </a:xfrm>
                          <a:prstGeom prst="rect">
                            <a:avLst/>
                          </a:prstGeom>
                        </wps:spPr>
                        <wps:txbx>
                          <w:txbxContent>
                            <w:p>
                              <w:pPr>
                                <w:spacing w:line="202" w:lineRule="exact" w:before="0"/>
                                <w:ind w:left="0" w:right="0" w:firstLine="0"/>
                                <w:jc w:val="left"/>
                                <w:rPr>
                                  <w:rFonts w:ascii="Calibri"/>
                                  <w:sz w:val="20"/>
                                </w:rPr>
                              </w:pPr>
                              <w:r>
                                <w:rPr>
                                  <w:rFonts w:ascii="Calibri"/>
                                  <w:color w:val="404040"/>
                                  <w:spacing w:val="-4"/>
                                  <w:sz w:val="20"/>
                                </w:rPr>
                                <w:t>57,5</w:t>
                              </w:r>
                            </w:p>
                          </w:txbxContent>
                        </wps:txbx>
                        <wps:bodyPr wrap="square" lIns="0" tIns="0" rIns="0" bIns="0" rtlCol="0">
                          <a:noAutofit/>
                        </wps:bodyPr>
                      </wps:wsp>
                      <wps:wsp>
                        <wps:cNvPr id="22" name="Textbox 22"/>
                        <wps:cNvSpPr txBox="1"/>
                        <wps:spPr>
                          <a:xfrm>
                            <a:off x="79756" y="1538605"/>
                            <a:ext cx="346075" cy="866140"/>
                          </a:xfrm>
                          <a:prstGeom prst="rect">
                            <a:avLst/>
                          </a:prstGeom>
                        </wps:spPr>
                        <wps:txbx>
                          <w:txbxContent>
                            <w:p>
                              <w:pPr>
                                <w:spacing w:line="205" w:lineRule="exact" w:before="0"/>
                                <w:ind w:left="268" w:right="0" w:firstLine="0"/>
                                <w:jc w:val="left"/>
                                <w:rPr>
                                  <w:rFonts w:ascii="Calibri"/>
                                  <w:sz w:val="20"/>
                                </w:rPr>
                              </w:pPr>
                              <w:r>
                                <w:rPr>
                                  <w:rFonts w:ascii="Calibri"/>
                                  <w:color w:val="404040"/>
                                  <w:spacing w:val="-5"/>
                                  <w:sz w:val="20"/>
                                </w:rPr>
                                <w:t>5,4</w:t>
                              </w:r>
                            </w:p>
                            <w:p>
                              <w:pPr>
                                <w:spacing w:before="34"/>
                                <w:ind w:left="9" w:right="0" w:firstLine="0"/>
                                <w:jc w:val="left"/>
                                <w:rPr>
                                  <w:rFonts w:ascii="Calibri"/>
                                  <w:sz w:val="20"/>
                                </w:rPr>
                              </w:pPr>
                              <w:r>
                                <w:rPr>
                                  <w:rFonts w:ascii="Calibri"/>
                                  <w:color w:val="404040"/>
                                  <w:spacing w:val="-5"/>
                                  <w:sz w:val="20"/>
                                </w:rPr>
                                <w:t>0,3</w:t>
                              </w:r>
                            </w:p>
                            <w:p>
                              <w:pPr>
                                <w:spacing w:line="240" w:lineRule="auto" w:before="97"/>
                                <w:rPr>
                                  <w:rFonts w:ascii="Calibri"/>
                                  <w:sz w:val="20"/>
                                </w:rPr>
                              </w:pPr>
                            </w:p>
                            <w:p>
                              <w:pPr>
                                <w:spacing w:before="1"/>
                                <w:ind w:left="0" w:right="0" w:firstLine="0"/>
                                <w:jc w:val="left"/>
                                <w:rPr>
                                  <w:rFonts w:ascii="Calibri"/>
                                  <w:sz w:val="20"/>
                                </w:rPr>
                              </w:pPr>
                              <w:r>
                                <w:rPr>
                                  <w:rFonts w:ascii="Calibri"/>
                                  <w:color w:val="404040"/>
                                  <w:spacing w:val="-5"/>
                                  <w:sz w:val="20"/>
                                </w:rPr>
                                <w:t>0,1</w:t>
                              </w:r>
                            </w:p>
                            <w:p>
                              <w:pPr>
                                <w:spacing w:line="241" w:lineRule="exact" w:before="53"/>
                                <w:ind w:left="91" w:right="0" w:firstLine="0"/>
                                <w:jc w:val="left"/>
                                <w:rPr>
                                  <w:rFonts w:ascii="Calibri"/>
                                  <w:sz w:val="20"/>
                                </w:rPr>
                              </w:pPr>
                              <w:r>
                                <w:rPr>
                                  <w:rFonts w:ascii="Calibri"/>
                                  <w:color w:val="404040"/>
                                  <w:spacing w:val="-5"/>
                                  <w:sz w:val="20"/>
                                </w:rPr>
                                <w:t>1,9</w:t>
                              </w:r>
                            </w:p>
                          </w:txbxContent>
                        </wps:txbx>
                        <wps:bodyPr wrap="square" lIns="0" tIns="0" rIns="0" bIns="0" rtlCol="0">
                          <a:noAutofit/>
                        </wps:bodyPr>
                      </wps:wsp>
                      <wps:wsp>
                        <wps:cNvPr id="23" name="Textbox 23"/>
                        <wps:cNvSpPr txBox="1"/>
                        <wps:spPr>
                          <a:xfrm>
                            <a:off x="482091" y="1352677"/>
                            <a:ext cx="240665" cy="128270"/>
                          </a:xfrm>
                          <a:prstGeom prst="rect">
                            <a:avLst/>
                          </a:prstGeom>
                        </wps:spPr>
                        <wps:txbx>
                          <w:txbxContent>
                            <w:p>
                              <w:pPr>
                                <w:spacing w:line="202" w:lineRule="exact" w:before="0"/>
                                <w:ind w:left="0" w:right="0" w:firstLine="0"/>
                                <w:jc w:val="left"/>
                                <w:rPr>
                                  <w:rFonts w:ascii="Calibri"/>
                                  <w:sz w:val="20"/>
                                </w:rPr>
                              </w:pPr>
                              <w:r>
                                <w:rPr>
                                  <w:rFonts w:ascii="Calibri"/>
                                  <w:color w:val="404040"/>
                                  <w:spacing w:val="-4"/>
                                  <w:sz w:val="20"/>
                                </w:rPr>
                                <w:t>12,6</w:t>
                              </w:r>
                            </w:p>
                          </w:txbxContent>
                        </wps:txbx>
                        <wps:bodyPr wrap="square" lIns="0" tIns="0" rIns="0" bIns="0" rtlCol="0">
                          <a:noAutofit/>
                        </wps:bodyPr>
                      </wps:wsp>
                      <wps:wsp>
                        <wps:cNvPr id="24" name="Textbox 24"/>
                        <wps:cNvSpPr txBox="1"/>
                        <wps:spPr>
                          <a:xfrm>
                            <a:off x="79756" y="50800"/>
                            <a:ext cx="419100" cy="1052195"/>
                          </a:xfrm>
                          <a:prstGeom prst="rect">
                            <a:avLst/>
                          </a:prstGeom>
                        </wps:spPr>
                        <wps:txbx>
                          <w:txbxContent>
                            <w:p>
                              <w:pPr>
                                <w:spacing w:line="205" w:lineRule="exact" w:before="0"/>
                                <w:ind w:left="0" w:right="0" w:firstLine="0"/>
                                <w:jc w:val="left"/>
                                <w:rPr>
                                  <w:rFonts w:ascii="Calibri"/>
                                  <w:sz w:val="20"/>
                                </w:rPr>
                              </w:pPr>
                              <w:r>
                                <w:rPr>
                                  <w:rFonts w:ascii="Calibri"/>
                                  <w:color w:val="404040"/>
                                  <w:spacing w:val="-5"/>
                                  <w:sz w:val="20"/>
                                </w:rPr>
                                <w:t>0,0</w:t>
                              </w:r>
                            </w:p>
                            <w:p>
                              <w:pPr>
                                <w:spacing w:before="34"/>
                                <w:ind w:left="23" w:right="0" w:firstLine="0"/>
                                <w:jc w:val="left"/>
                                <w:rPr>
                                  <w:rFonts w:ascii="Calibri"/>
                                  <w:sz w:val="20"/>
                                </w:rPr>
                              </w:pPr>
                              <w:r>
                                <w:rPr>
                                  <w:rFonts w:ascii="Calibri"/>
                                  <w:color w:val="404040"/>
                                  <w:spacing w:val="-5"/>
                                  <w:sz w:val="20"/>
                                </w:rPr>
                                <w:t>0,6</w:t>
                              </w:r>
                            </w:p>
                            <w:p>
                              <w:pPr>
                                <w:spacing w:before="49"/>
                                <w:ind w:left="383" w:right="0" w:firstLine="0"/>
                                <w:jc w:val="left"/>
                                <w:rPr>
                                  <w:rFonts w:ascii="Calibri"/>
                                  <w:sz w:val="20"/>
                                </w:rPr>
                              </w:pPr>
                              <w:r>
                                <w:rPr>
                                  <w:rFonts w:ascii="Calibri"/>
                                  <w:color w:val="404040"/>
                                  <w:spacing w:val="-5"/>
                                  <w:sz w:val="20"/>
                                </w:rPr>
                                <w:t>7,7</w:t>
                              </w:r>
                            </w:p>
                            <w:p>
                              <w:pPr>
                                <w:spacing w:before="48"/>
                                <w:ind w:left="110" w:right="0" w:firstLine="0"/>
                                <w:jc w:val="left"/>
                                <w:rPr>
                                  <w:rFonts w:ascii="Calibri"/>
                                  <w:sz w:val="20"/>
                                </w:rPr>
                              </w:pPr>
                              <w:r>
                                <w:rPr>
                                  <w:rFonts w:ascii="Calibri"/>
                                  <w:color w:val="404040"/>
                                  <w:spacing w:val="-5"/>
                                  <w:sz w:val="20"/>
                                </w:rPr>
                                <w:t>2,2</w:t>
                              </w:r>
                            </w:p>
                            <w:p>
                              <w:pPr>
                                <w:spacing w:before="50"/>
                                <w:ind w:left="283" w:right="0" w:firstLine="0"/>
                                <w:jc w:val="left"/>
                                <w:rPr>
                                  <w:rFonts w:ascii="Calibri"/>
                                  <w:sz w:val="20"/>
                                </w:rPr>
                              </w:pPr>
                              <w:r>
                                <w:rPr>
                                  <w:rFonts w:ascii="Calibri"/>
                                  <w:color w:val="404040"/>
                                  <w:spacing w:val="-5"/>
                                  <w:sz w:val="20"/>
                                </w:rPr>
                                <w:t>5,7</w:t>
                              </w:r>
                            </w:p>
                            <w:p>
                              <w:pPr>
                                <w:spacing w:line="241" w:lineRule="exact" w:before="53"/>
                                <w:ind w:left="302" w:right="0" w:firstLine="0"/>
                                <w:jc w:val="left"/>
                                <w:rPr>
                                  <w:rFonts w:ascii="Calibri"/>
                                  <w:sz w:val="20"/>
                                </w:rPr>
                              </w:pPr>
                              <w:r>
                                <w:rPr>
                                  <w:rFonts w:ascii="Calibri"/>
                                  <w:color w:val="404040"/>
                                  <w:spacing w:val="-5"/>
                                  <w:sz w:val="20"/>
                                </w:rPr>
                                <w:t>6,0</w:t>
                              </w:r>
                            </w:p>
                          </w:txbxContent>
                        </wps:txbx>
                        <wps:bodyPr wrap="square" lIns="0" tIns="0" rIns="0" bIns="0" rtlCol="0">
                          <a:noAutofit/>
                        </wps:bodyPr>
                      </wps:wsp>
                    </wpg:wgp>
                  </a:graphicData>
                </a:graphic>
              </wp:anchor>
            </w:drawing>
          </mc:Choice>
          <mc:Fallback>
            <w:pict>
              <v:group style="position:absolute;margin-left:285.200012pt;margin-top:12.601563pt;width:202.3pt;height:190.4pt;mso-position-horizontal-relative:page;mso-position-vertical-relative:paragraph;z-index:15730688" id="docshapegroup11" coordorigin="5704,252" coordsize="4046,3808">
                <v:rect style="position:absolute;left:5704;top:252;width:4038;height:3808" id="docshape12" filled="true" fillcolor="#f0f0f0" stroked="false">
                  <v:fill type="solid"/>
                </v:rect>
                <v:shape style="position:absolute;left:6714;top:252;width:3028;height:3808" id="docshape13" coordorigin="6714,252" coordsize="3028,3808" path="m6714,2208l6714,4060m6714,252l6714,2104m7723,2208l7723,4060m7723,252l7723,2104m8732,252l8732,4060m9742,252l9742,4060e" filled="false" stroked="true" strokeweight=".75pt" strokecolor="#d9d9d9">
                  <v:path arrowok="t"/>
                  <v:stroke dashstyle="solid"/>
                </v:shape>
                <v:rect style="position:absolute;left:5704;top:2104;width:2905;height:104" id="docshape14" filled="true" fillcolor="#b3a0c5" stroked="false">
                  <v:fill type="solid"/>
                </v:rect>
                <v:shape style="position:absolute;left:5704;top:347;width:636;height:3620" id="docshape15" coordorigin="5704,347" coordsize="636,3620" path="m5706,347l5704,347,5704,451,5706,451,5706,347xm5707,3569l5704,3569,5704,3673,5707,3673,5707,3569xm5718,2984l5704,2984,5704,3087,5718,3087,5718,2984xm5733,640l5704,640,5704,745,5733,745,5733,640xm5801,3862l5704,3862,5704,3967,5801,3967,5801,3862xm5817,1226l5704,1226,5704,1330,5817,1330,5817,1226xm5975,2691l5704,2691,5704,2794,5975,2794,5975,2691xm5989,1519l5704,1519,5704,1623,5989,1623,5989,1519xm6006,1811l5704,1811,5704,1916,6006,1916,6006,1811xm6091,933l5704,933,5704,1037,6091,1037,6091,933xm6340,2398l5704,2398,5704,2501,6340,2501,6340,2398xe" filled="true" fillcolor="#4f81bb" stroked="false">
                  <v:path arrowok="t"/>
                  <v:fill type="solid"/>
                </v:shape>
                <v:shape style="position:absolute;left:8729;top:2089;width:377;height:202" type="#_x0000_t202" id="docshape16" filled="false" stroked="false">
                  <v:textbox inset="0,0,0,0">
                    <w:txbxContent>
                      <w:p>
                        <w:pPr>
                          <w:spacing w:line="202" w:lineRule="exact" w:before="0"/>
                          <w:ind w:left="0" w:right="0" w:firstLine="0"/>
                          <w:jc w:val="left"/>
                          <w:rPr>
                            <w:rFonts w:ascii="Calibri"/>
                            <w:sz w:val="20"/>
                          </w:rPr>
                        </w:pPr>
                        <w:r>
                          <w:rPr>
                            <w:rFonts w:ascii="Calibri"/>
                            <w:color w:val="404040"/>
                            <w:spacing w:val="-4"/>
                            <w:sz w:val="20"/>
                          </w:rPr>
                          <w:t>57,5</w:t>
                        </w:r>
                      </w:p>
                    </w:txbxContent>
                  </v:textbox>
                  <w10:wrap type="none"/>
                </v:shape>
                <v:shape style="position:absolute;left:5829;top:2675;width:545;height:1364" type="#_x0000_t202" id="docshape17" filled="false" stroked="false">
                  <v:textbox inset="0,0,0,0">
                    <w:txbxContent>
                      <w:p>
                        <w:pPr>
                          <w:spacing w:line="205" w:lineRule="exact" w:before="0"/>
                          <w:ind w:left="268" w:right="0" w:firstLine="0"/>
                          <w:jc w:val="left"/>
                          <w:rPr>
                            <w:rFonts w:ascii="Calibri"/>
                            <w:sz w:val="20"/>
                          </w:rPr>
                        </w:pPr>
                        <w:r>
                          <w:rPr>
                            <w:rFonts w:ascii="Calibri"/>
                            <w:color w:val="404040"/>
                            <w:spacing w:val="-5"/>
                            <w:sz w:val="20"/>
                          </w:rPr>
                          <w:t>5,4</w:t>
                        </w:r>
                      </w:p>
                      <w:p>
                        <w:pPr>
                          <w:spacing w:before="34"/>
                          <w:ind w:left="9" w:right="0" w:firstLine="0"/>
                          <w:jc w:val="left"/>
                          <w:rPr>
                            <w:rFonts w:ascii="Calibri"/>
                            <w:sz w:val="20"/>
                          </w:rPr>
                        </w:pPr>
                        <w:r>
                          <w:rPr>
                            <w:rFonts w:ascii="Calibri"/>
                            <w:color w:val="404040"/>
                            <w:spacing w:val="-5"/>
                            <w:sz w:val="20"/>
                          </w:rPr>
                          <w:t>0,3</w:t>
                        </w:r>
                      </w:p>
                      <w:p>
                        <w:pPr>
                          <w:spacing w:line="240" w:lineRule="auto" w:before="97"/>
                          <w:rPr>
                            <w:rFonts w:ascii="Calibri"/>
                            <w:sz w:val="20"/>
                          </w:rPr>
                        </w:pPr>
                      </w:p>
                      <w:p>
                        <w:pPr>
                          <w:spacing w:before="1"/>
                          <w:ind w:left="0" w:right="0" w:firstLine="0"/>
                          <w:jc w:val="left"/>
                          <w:rPr>
                            <w:rFonts w:ascii="Calibri"/>
                            <w:sz w:val="20"/>
                          </w:rPr>
                        </w:pPr>
                        <w:r>
                          <w:rPr>
                            <w:rFonts w:ascii="Calibri"/>
                            <w:color w:val="404040"/>
                            <w:spacing w:val="-5"/>
                            <w:sz w:val="20"/>
                          </w:rPr>
                          <w:t>0,1</w:t>
                        </w:r>
                      </w:p>
                      <w:p>
                        <w:pPr>
                          <w:spacing w:line="241" w:lineRule="exact" w:before="53"/>
                          <w:ind w:left="91" w:right="0" w:firstLine="0"/>
                          <w:jc w:val="left"/>
                          <w:rPr>
                            <w:rFonts w:ascii="Calibri"/>
                            <w:sz w:val="20"/>
                          </w:rPr>
                        </w:pPr>
                        <w:r>
                          <w:rPr>
                            <w:rFonts w:ascii="Calibri"/>
                            <w:color w:val="404040"/>
                            <w:spacing w:val="-5"/>
                            <w:sz w:val="20"/>
                          </w:rPr>
                          <w:t>1,9</w:t>
                        </w:r>
                      </w:p>
                    </w:txbxContent>
                  </v:textbox>
                  <w10:wrap type="none"/>
                </v:shape>
                <v:shape style="position:absolute;left:6463;top:2382;width:379;height:202" type="#_x0000_t202" id="docshape18" filled="false" stroked="false">
                  <v:textbox inset="0,0,0,0">
                    <w:txbxContent>
                      <w:p>
                        <w:pPr>
                          <w:spacing w:line="202" w:lineRule="exact" w:before="0"/>
                          <w:ind w:left="0" w:right="0" w:firstLine="0"/>
                          <w:jc w:val="left"/>
                          <w:rPr>
                            <w:rFonts w:ascii="Calibri"/>
                            <w:sz w:val="20"/>
                          </w:rPr>
                        </w:pPr>
                        <w:r>
                          <w:rPr>
                            <w:rFonts w:ascii="Calibri"/>
                            <w:color w:val="404040"/>
                            <w:spacing w:val="-4"/>
                            <w:sz w:val="20"/>
                          </w:rPr>
                          <w:t>12,6</w:t>
                        </w:r>
                      </w:p>
                    </w:txbxContent>
                  </v:textbox>
                  <w10:wrap type="none"/>
                </v:shape>
                <v:shape style="position:absolute;left:5829;top:332;width:660;height:1657" type="#_x0000_t202" id="docshape19" filled="false" stroked="false">
                  <v:textbox inset="0,0,0,0">
                    <w:txbxContent>
                      <w:p>
                        <w:pPr>
                          <w:spacing w:line="205" w:lineRule="exact" w:before="0"/>
                          <w:ind w:left="0" w:right="0" w:firstLine="0"/>
                          <w:jc w:val="left"/>
                          <w:rPr>
                            <w:rFonts w:ascii="Calibri"/>
                            <w:sz w:val="20"/>
                          </w:rPr>
                        </w:pPr>
                        <w:r>
                          <w:rPr>
                            <w:rFonts w:ascii="Calibri"/>
                            <w:color w:val="404040"/>
                            <w:spacing w:val="-5"/>
                            <w:sz w:val="20"/>
                          </w:rPr>
                          <w:t>0,0</w:t>
                        </w:r>
                      </w:p>
                      <w:p>
                        <w:pPr>
                          <w:spacing w:before="34"/>
                          <w:ind w:left="23" w:right="0" w:firstLine="0"/>
                          <w:jc w:val="left"/>
                          <w:rPr>
                            <w:rFonts w:ascii="Calibri"/>
                            <w:sz w:val="20"/>
                          </w:rPr>
                        </w:pPr>
                        <w:r>
                          <w:rPr>
                            <w:rFonts w:ascii="Calibri"/>
                            <w:color w:val="404040"/>
                            <w:spacing w:val="-5"/>
                            <w:sz w:val="20"/>
                          </w:rPr>
                          <w:t>0,6</w:t>
                        </w:r>
                      </w:p>
                      <w:p>
                        <w:pPr>
                          <w:spacing w:before="49"/>
                          <w:ind w:left="383" w:right="0" w:firstLine="0"/>
                          <w:jc w:val="left"/>
                          <w:rPr>
                            <w:rFonts w:ascii="Calibri"/>
                            <w:sz w:val="20"/>
                          </w:rPr>
                        </w:pPr>
                        <w:r>
                          <w:rPr>
                            <w:rFonts w:ascii="Calibri"/>
                            <w:color w:val="404040"/>
                            <w:spacing w:val="-5"/>
                            <w:sz w:val="20"/>
                          </w:rPr>
                          <w:t>7,7</w:t>
                        </w:r>
                      </w:p>
                      <w:p>
                        <w:pPr>
                          <w:spacing w:before="48"/>
                          <w:ind w:left="110" w:right="0" w:firstLine="0"/>
                          <w:jc w:val="left"/>
                          <w:rPr>
                            <w:rFonts w:ascii="Calibri"/>
                            <w:sz w:val="20"/>
                          </w:rPr>
                        </w:pPr>
                        <w:r>
                          <w:rPr>
                            <w:rFonts w:ascii="Calibri"/>
                            <w:color w:val="404040"/>
                            <w:spacing w:val="-5"/>
                            <w:sz w:val="20"/>
                          </w:rPr>
                          <w:t>2,2</w:t>
                        </w:r>
                      </w:p>
                      <w:p>
                        <w:pPr>
                          <w:spacing w:before="50"/>
                          <w:ind w:left="283" w:right="0" w:firstLine="0"/>
                          <w:jc w:val="left"/>
                          <w:rPr>
                            <w:rFonts w:ascii="Calibri"/>
                            <w:sz w:val="20"/>
                          </w:rPr>
                        </w:pPr>
                        <w:r>
                          <w:rPr>
                            <w:rFonts w:ascii="Calibri"/>
                            <w:color w:val="404040"/>
                            <w:spacing w:val="-5"/>
                            <w:sz w:val="20"/>
                          </w:rPr>
                          <w:t>5,7</w:t>
                        </w:r>
                      </w:p>
                      <w:p>
                        <w:pPr>
                          <w:spacing w:line="241" w:lineRule="exact" w:before="53"/>
                          <w:ind w:left="302" w:right="0" w:firstLine="0"/>
                          <w:jc w:val="left"/>
                          <w:rPr>
                            <w:rFonts w:ascii="Calibri"/>
                            <w:sz w:val="20"/>
                          </w:rPr>
                        </w:pPr>
                        <w:r>
                          <w:rPr>
                            <w:rFonts w:ascii="Calibri"/>
                            <w:color w:val="404040"/>
                            <w:spacing w:val="-5"/>
                            <w:sz w:val="20"/>
                          </w:rPr>
                          <w:t>6,0</w:t>
                        </w:r>
                      </w:p>
                    </w:txbxContent>
                  </v:textbox>
                  <w10:wrap type="none"/>
                </v:shape>
                <w10:wrap type="none"/>
              </v:group>
            </w:pict>
          </mc:Fallback>
        </mc:AlternateContent>
      </w:r>
      <w:r>
        <w:rPr>
          <w:rFonts w:ascii="Calibri" w:hAnsi="Calibri"/>
          <w:color w:val="575757"/>
          <w:sz w:val="20"/>
        </w:rPr>
        <w:t>Pendapatan</w:t>
      </w:r>
      <w:r>
        <w:rPr>
          <w:rFonts w:ascii="Calibri" w:hAnsi="Calibri"/>
          <w:color w:val="575757"/>
          <w:spacing w:val="-9"/>
          <w:sz w:val="20"/>
        </w:rPr>
        <w:t> </w:t>
      </w:r>
      <w:r>
        <w:rPr>
          <w:rFonts w:ascii="Calibri" w:hAnsi="Calibri"/>
          <w:color w:val="575757"/>
          <w:sz w:val="20"/>
        </w:rPr>
        <w:t>Hibah Bantuan</w:t>
      </w:r>
      <w:r>
        <w:rPr>
          <w:rFonts w:ascii="Calibri" w:hAnsi="Calibri"/>
          <w:color w:val="575757"/>
          <w:spacing w:val="-9"/>
          <w:sz w:val="20"/>
        </w:rPr>
        <w:t> </w:t>
      </w:r>
      <w:r>
        <w:rPr>
          <w:rFonts w:ascii="Calibri" w:hAnsi="Calibri"/>
          <w:color w:val="575757"/>
          <w:sz w:val="20"/>
        </w:rPr>
        <w:t>Keuangan</w:t>
      </w:r>
      <w:r>
        <w:rPr>
          <w:rFonts w:ascii="Calibri" w:hAnsi="Calibri"/>
          <w:color w:val="575757"/>
          <w:spacing w:val="-10"/>
          <w:sz w:val="20"/>
        </w:rPr>
        <w:t> </w:t>
      </w:r>
      <w:r>
        <w:rPr>
          <w:rFonts w:ascii="Calibri" w:hAnsi="Calibri"/>
          <w:color w:val="575757"/>
          <w:sz w:val="20"/>
        </w:rPr>
        <w:t>Dari</w:t>
      </w:r>
      <w:r>
        <w:rPr>
          <w:rFonts w:ascii="Calibri" w:hAnsi="Calibri"/>
          <w:color w:val="575757"/>
          <w:spacing w:val="-11"/>
          <w:sz w:val="20"/>
        </w:rPr>
        <w:t> </w:t>
      </w:r>
      <w:r>
        <w:rPr>
          <w:rFonts w:ascii="Calibri" w:hAnsi="Calibri"/>
          <w:color w:val="575757"/>
          <w:sz w:val="20"/>
        </w:rPr>
        <w:t>Provinsi</w:t>
      </w:r>
      <w:r>
        <w:rPr>
          <w:rFonts w:ascii="Calibri" w:hAnsi="Calibri"/>
          <w:color w:val="575757"/>
          <w:spacing w:val="-7"/>
          <w:sz w:val="20"/>
        </w:rPr>
        <w:t> </w:t>
      </w:r>
      <w:r>
        <w:rPr>
          <w:rFonts w:ascii="Calibri" w:hAnsi="Calibri"/>
          <w:color w:val="575757"/>
          <w:sz w:val="20"/>
        </w:rPr>
        <w:t>Atau…</w:t>
      </w:r>
    </w:p>
    <w:p>
      <w:pPr>
        <w:spacing w:line="290" w:lineRule="auto" w:before="0"/>
        <w:ind w:left="1743" w:right="5386" w:hanging="711"/>
        <w:jc w:val="right"/>
        <w:rPr>
          <w:rFonts w:ascii="Calibri"/>
          <w:sz w:val="20"/>
        </w:rPr>
      </w:pPr>
      <w:r>
        <w:rPr>
          <w:rFonts w:ascii="Calibri"/>
          <w:color w:val="575757"/>
          <w:sz w:val="20"/>
        </w:rPr>
        <w:t>Dana</w:t>
      </w:r>
      <w:r>
        <w:rPr>
          <w:rFonts w:ascii="Calibri"/>
          <w:color w:val="575757"/>
          <w:spacing w:val="-6"/>
          <w:sz w:val="20"/>
        </w:rPr>
        <w:t> </w:t>
      </w:r>
      <w:r>
        <w:rPr>
          <w:rFonts w:ascii="Calibri"/>
          <w:color w:val="575757"/>
          <w:sz w:val="20"/>
        </w:rPr>
        <w:t>Bagi</w:t>
      </w:r>
      <w:r>
        <w:rPr>
          <w:rFonts w:ascii="Calibri"/>
          <w:color w:val="575757"/>
          <w:spacing w:val="-6"/>
          <w:sz w:val="20"/>
        </w:rPr>
        <w:t> </w:t>
      </w:r>
      <w:r>
        <w:rPr>
          <w:rFonts w:ascii="Calibri"/>
          <w:color w:val="575757"/>
          <w:sz w:val="20"/>
        </w:rPr>
        <w:t>Hasil</w:t>
      </w:r>
      <w:r>
        <w:rPr>
          <w:rFonts w:ascii="Calibri"/>
          <w:color w:val="575757"/>
          <w:spacing w:val="-7"/>
          <w:sz w:val="20"/>
        </w:rPr>
        <w:t> </w:t>
      </w:r>
      <w:r>
        <w:rPr>
          <w:rFonts w:ascii="Calibri"/>
          <w:color w:val="575757"/>
          <w:sz w:val="20"/>
        </w:rPr>
        <w:t>Pajak</w:t>
      </w:r>
      <w:r>
        <w:rPr>
          <w:rFonts w:ascii="Calibri"/>
          <w:color w:val="575757"/>
          <w:spacing w:val="-9"/>
          <w:sz w:val="20"/>
        </w:rPr>
        <w:t> </w:t>
      </w:r>
      <w:r>
        <w:rPr>
          <w:rFonts w:ascii="Calibri"/>
          <w:color w:val="575757"/>
          <w:sz w:val="20"/>
        </w:rPr>
        <w:t>Dari</w:t>
      </w:r>
      <w:r>
        <w:rPr>
          <w:rFonts w:ascii="Calibri"/>
          <w:color w:val="575757"/>
          <w:spacing w:val="-7"/>
          <w:sz w:val="20"/>
        </w:rPr>
        <w:t> </w:t>
      </w:r>
      <w:r>
        <w:rPr>
          <w:rFonts w:ascii="Calibri"/>
          <w:color w:val="575757"/>
          <w:sz w:val="20"/>
        </w:rPr>
        <w:t>Provinsi Dana</w:t>
      </w:r>
      <w:r>
        <w:rPr>
          <w:rFonts w:ascii="Calibri"/>
          <w:color w:val="575757"/>
          <w:spacing w:val="-11"/>
          <w:sz w:val="20"/>
        </w:rPr>
        <w:t> </w:t>
      </w:r>
      <w:r>
        <w:rPr>
          <w:rFonts w:ascii="Calibri"/>
          <w:color w:val="575757"/>
          <w:sz w:val="20"/>
        </w:rPr>
        <w:t>Desa</w:t>
      </w:r>
      <w:r>
        <w:rPr>
          <w:rFonts w:ascii="Calibri"/>
          <w:color w:val="575757"/>
          <w:spacing w:val="-7"/>
          <w:sz w:val="20"/>
        </w:rPr>
        <w:t> </w:t>
      </w:r>
      <w:r>
        <w:rPr>
          <w:rFonts w:ascii="Calibri"/>
          <w:color w:val="575757"/>
          <w:sz w:val="20"/>
        </w:rPr>
        <w:t>dan</w:t>
      </w:r>
      <w:r>
        <w:rPr>
          <w:rFonts w:ascii="Calibri"/>
          <w:color w:val="575757"/>
          <w:spacing w:val="-11"/>
          <w:sz w:val="20"/>
        </w:rPr>
        <w:t> </w:t>
      </w:r>
      <w:r>
        <w:rPr>
          <w:rFonts w:ascii="Calibri"/>
          <w:color w:val="575757"/>
          <w:sz w:val="20"/>
        </w:rPr>
        <w:t>Desa</w:t>
      </w:r>
      <w:r>
        <w:rPr>
          <w:rFonts w:ascii="Calibri"/>
          <w:color w:val="575757"/>
          <w:spacing w:val="-7"/>
          <w:sz w:val="20"/>
        </w:rPr>
        <w:t> </w:t>
      </w:r>
      <w:r>
        <w:rPr>
          <w:rFonts w:ascii="Calibri"/>
          <w:color w:val="575757"/>
          <w:sz w:val="20"/>
        </w:rPr>
        <w:t>Adat Dana Alokasi Khusus</w:t>
      </w:r>
      <w:r>
        <w:rPr>
          <w:rFonts w:ascii="Calibri"/>
          <w:color w:val="575757"/>
          <w:spacing w:val="40"/>
          <w:sz w:val="20"/>
        </w:rPr>
        <w:t> </w:t>
      </w:r>
      <w:r>
        <w:rPr>
          <w:rFonts w:ascii="Calibri"/>
          <w:color w:val="575757"/>
          <w:sz w:val="20"/>
        </w:rPr>
        <w:t>Dana Transfer Umum</w:t>
      </w:r>
    </w:p>
    <w:p>
      <w:pPr>
        <w:spacing w:line="234" w:lineRule="exact" w:before="0"/>
        <w:ind w:left="782" w:right="0" w:firstLine="0"/>
        <w:jc w:val="left"/>
        <w:rPr>
          <w:rFonts w:ascii="Calibri" w:hAnsi="Calibri"/>
          <w:sz w:val="20"/>
        </w:rPr>
      </w:pPr>
      <w:r>
        <w:rPr>
          <w:rFonts w:ascii="Calibri" w:hAnsi="Calibri"/>
          <w:color w:val="575757"/>
          <w:sz w:val="20"/>
        </w:rPr>
        <w:t>Bagi</w:t>
      </w:r>
      <w:r>
        <w:rPr>
          <w:rFonts w:ascii="Calibri" w:hAnsi="Calibri"/>
          <w:color w:val="575757"/>
          <w:spacing w:val="-4"/>
          <w:sz w:val="20"/>
        </w:rPr>
        <w:t> </w:t>
      </w:r>
      <w:r>
        <w:rPr>
          <w:rFonts w:ascii="Calibri" w:hAnsi="Calibri"/>
          <w:color w:val="575757"/>
          <w:sz w:val="20"/>
        </w:rPr>
        <w:t>Hasil</w:t>
      </w:r>
      <w:r>
        <w:rPr>
          <w:rFonts w:ascii="Calibri" w:hAnsi="Calibri"/>
          <w:color w:val="575757"/>
          <w:spacing w:val="-4"/>
          <w:sz w:val="20"/>
        </w:rPr>
        <w:t> </w:t>
      </w:r>
      <w:r>
        <w:rPr>
          <w:rFonts w:ascii="Calibri" w:hAnsi="Calibri"/>
          <w:color w:val="575757"/>
          <w:sz w:val="20"/>
        </w:rPr>
        <w:t>bukan</w:t>
      </w:r>
      <w:r>
        <w:rPr>
          <w:rFonts w:ascii="Calibri" w:hAnsi="Calibri"/>
          <w:color w:val="575757"/>
          <w:spacing w:val="-7"/>
          <w:sz w:val="20"/>
        </w:rPr>
        <w:t> </w:t>
      </w:r>
      <w:r>
        <w:rPr>
          <w:rFonts w:ascii="Calibri" w:hAnsi="Calibri"/>
          <w:color w:val="575757"/>
          <w:sz w:val="20"/>
        </w:rPr>
        <w:t>Pajak</w:t>
      </w:r>
      <w:r>
        <w:rPr>
          <w:rFonts w:ascii="Calibri" w:hAnsi="Calibri"/>
          <w:color w:val="575757"/>
          <w:spacing w:val="-11"/>
          <w:sz w:val="20"/>
        </w:rPr>
        <w:t> </w:t>
      </w:r>
      <w:r>
        <w:rPr>
          <w:rFonts w:ascii="Calibri" w:hAnsi="Calibri"/>
          <w:color w:val="575757"/>
          <w:sz w:val="20"/>
        </w:rPr>
        <w:t>(</w:t>
      </w:r>
      <w:r>
        <w:rPr>
          <w:rFonts w:ascii="Calibri" w:hAnsi="Calibri"/>
          <w:color w:val="575757"/>
          <w:spacing w:val="-5"/>
          <w:sz w:val="20"/>
        </w:rPr>
        <w:t> </w:t>
      </w:r>
      <w:r>
        <w:rPr>
          <w:rFonts w:ascii="Calibri" w:hAnsi="Calibri"/>
          <w:color w:val="575757"/>
          <w:sz w:val="20"/>
        </w:rPr>
        <w:t>Sumber</w:t>
      </w:r>
      <w:r>
        <w:rPr>
          <w:rFonts w:ascii="Calibri" w:hAnsi="Calibri"/>
          <w:color w:val="575757"/>
          <w:spacing w:val="-9"/>
          <w:sz w:val="20"/>
        </w:rPr>
        <w:t> </w:t>
      </w:r>
      <w:r>
        <w:rPr>
          <w:rFonts w:ascii="Calibri" w:hAnsi="Calibri"/>
          <w:color w:val="575757"/>
          <w:spacing w:val="-2"/>
          <w:sz w:val="20"/>
        </w:rPr>
        <w:t>Daya…</w:t>
      </w:r>
    </w:p>
    <w:p>
      <w:pPr>
        <w:spacing w:line="290" w:lineRule="auto" w:before="48"/>
        <w:ind w:left="1003" w:right="5258" w:firstLine="1560"/>
        <w:jc w:val="left"/>
        <w:rPr>
          <w:rFonts w:ascii="Calibri" w:hAnsi="Calibri"/>
          <w:sz w:val="20"/>
        </w:rPr>
      </w:pPr>
      <w:r>
        <w:rPr>
          <w:rFonts w:ascii="Calibri" w:hAnsi="Calibri"/>
          <w:color w:val="575757"/>
          <w:sz w:val="20"/>
        </w:rPr>
        <w:t>Bagi Hasil Pajak Lain-lain Pendapatan Asli Daerah… Kekayaan Daerah Yang dipisahkan Hasil</w:t>
      </w:r>
      <w:r>
        <w:rPr>
          <w:rFonts w:ascii="Calibri" w:hAnsi="Calibri"/>
          <w:color w:val="575757"/>
          <w:spacing w:val="-9"/>
          <w:sz w:val="20"/>
        </w:rPr>
        <w:t> </w:t>
      </w:r>
      <w:r>
        <w:rPr>
          <w:rFonts w:ascii="Calibri" w:hAnsi="Calibri"/>
          <w:color w:val="575757"/>
          <w:sz w:val="20"/>
        </w:rPr>
        <w:t>Perusahaan</w:t>
      </w:r>
      <w:r>
        <w:rPr>
          <w:rFonts w:ascii="Calibri" w:hAnsi="Calibri"/>
          <w:color w:val="575757"/>
          <w:spacing w:val="-11"/>
          <w:sz w:val="20"/>
        </w:rPr>
        <w:t> </w:t>
      </w:r>
      <w:r>
        <w:rPr>
          <w:rFonts w:ascii="Calibri" w:hAnsi="Calibri"/>
          <w:color w:val="575757"/>
          <w:sz w:val="20"/>
        </w:rPr>
        <w:t>Milik</w:t>
      </w:r>
      <w:r>
        <w:rPr>
          <w:rFonts w:ascii="Calibri" w:hAnsi="Calibri"/>
          <w:color w:val="575757"/>
          <w:spacing w:val="-11"/>
          <w:sz w:val="20"/>
        </w:rPr>
        <w:t> </w:t>
      </w:r>
      <w:r>
        <w:rPr>
          <w:rFonts w:ascii="Calibri" w:hAnsi="Calibri"/>
          <w:color w:val="575757"/>
          <w:sz w:val="20"/>
        </w:rPr>
        <w:t>Daerah</w:t>
      </w:r>
      <w:r>
        <w:rPr>
          <w:rFonts w:ascii="Calibri" w:hAnsi="Calibri"/>
          <w:color w:val="575757"/>
          <w:spacing w:val="-12"/>
          <w:sz w:val="20"/>
        </w:rPr>
        <w:t> </w:t>
      </w:r>
      <w:r>
        <w:rPr>
          <w:rFonts w:ascii="Calibri" w:hAnsi="Calibri"/>
          <w:color w:val="575757"/>
          <w:sz w:val="20"/>
        </w:rPr>
        <w:t>dan…</w:t>
      </w:r>
    </w:p>
    <w:p>
      <w:pPr>
        <w:spacing w:line="288" w:lineRule="auto" w:before="0"/>
        <w:ind w:left="2756" w:right="5005" w:hanging="294"/>
        <w:jc w:val="left"/>
        <w:rPr>
          <w:rFonts w:ascii="Calibri"/>
          <w:sz w:val="20"/>
        </w:rPr>
      </w:pPr>
      <w:r>
        <w:rPr>
          <w:rFonts w:ascii="Calibri"/>
          <w:color w:val="575757"/>
          <w:sz w:val="20"/>
        </w:rPr>
        <w:t>Retribusi</w:t>
      </w:r>
      <w:r>
        <w:rPr>
          <w:rFonts w:ascii="Calibri"/>
          <w:color w:val="575757"/>
          <w:spacing w:val="-12"/>
          <w:sz w:val="20"/>
        </w:rPr>
        <w:t> </w:t>
      </w:r>
      <w:r>
        <w:rPr>
          <w:rFonts w:ascii="Calibri"/>
          <w:color w:val="575757"/>
          <w:sz w:val="20"/>
        </w:rPr>
        <w:t>Daerah </w:t>
      </w:r>
      <w:r>
        <w:rPr>
          <w:rFonts w:ascii="Calibri"/>
          <w:color w:val="575757"/>
          <w:spacing w:val="-2"/>
          <w:sz w:val="20"/>
        </w:rPr>
        <w:t>Pajak</w:t>
      </w:r>
      <w:r>
        <w:rPr>
          <w:rFonts w:ascii="Calibri"/>
          <w:color w:val="575757"/>
          <w:spacing w:val="-11"/>
          <w:sz w:val="20"/>
        </w:rPr>
        <w:t> </w:t>
      </w:r>
      <w:r>
        <w:rPr>
          <w:rFonts w:ascii="Calibri"/>
          <w:color w:val="575757"/>
          <w:spacing w:val="-2"/>
          <w:sz w:val="20"/>
        </w:rPr>
        <w:t>Daerah</w:t>
      </w:r>
    </w:p>
    <w:p>
      <w:pPr>
        <w:tabs>
          <w:tab w:pos="4859" w:val="left" w:leader="none"/>
          <w:tab w:pos="5867" w:val="left" w:leader="none"/>
          <w:tab w:pos="6876" w:val="left" w:leader="none"/>
          <w:tab w:pos="7884" w:val="left" w:leader="none"/>
        </w:tabs>
        <w:spacing w:before="90"/>
        <w:ind w:left="3894" w:right="0" w:firstLine="0"/>
        <w:jc w:val="left"/>
        <w:rPr>
          <w:rFonts w:ascii="Calibri"/>
          <w:sz w:val="18"/>
        </w:rPr>
      </w:pPr>
      <w:r>
        <w:rPr>
          <w:rFonts w:ascii="Calibri"/>
          <w:color w:val="575757"/>
          <w:spacing w:val="-5"/>
          <w:sz w:val="18"/>
        </w:rPr>
        <w:t>0,0</w:t>
      </w:r>
      <w:r>
        <w:rPr>
          <w:rFonts w:ascii="Calibri"/>
          <w:color w:val="575757"/>
          <w:sz w:val="18"/>
        </w:rPr>
        <w:tab/>
      </w:r>
      <w:r>
        <w:rPr>
          <w:rFonts w:ascii="Calibri"/>
          <w:color w:val="575757"/>
          <w:spacing w:val="-4"/>
          <w:sz w:val="18"/>
        </w:rPr>
        <w:t>20,0</w:t>
      </w:r>
      <w:r>
        <w:rPr>
          <w:rFonts w:ascii="Calibri"/>
          <w:color w:val="575757"/>
          <w:sz w:val="18"/>
        </w:rPr>
        <w:tab/>
      </w:r>
      <w:r>
        <w:rPr>
          <w:rFonts w:ascii="Calibri"/>
          <w:color w:val="575757"/>
          <w:spacing w:val="-4"/>
          <w:sz w:val="18"/>
        </w:rPr>
        <w:t>40,0</w:t>
      </w:r>
      <w:r>
        <w:rPr>
          <w:rFonts w:ascii="Calibri"/>
          <w:color w:val="575757"/>
          <w:sz w:val="18"/>
        </w:rPr>
        <w:tab/>
      </w:r>
      <w:r>
        <w:rPr>
          <w:rFonts w:ascii="Calibri"/>
          <w:color w:val="575757"/>
          <w:spacing w:val="-4"/>
          <w:sz w:val="18"/>
        </w:rPr>
        <w:t>60,0</w:t>
      </w:r>
      <w:r>
        <w:rPr>
          <w:rFonts w:ascii="Calibri"/>
          <w:color w:val="575757"/>
          <w:sz w:val="18"/>
        </w:rPr>
        <w:tab/>
      </w:r>
      <w:r>
        <w:rPr>
          <w:rFonts w:ascii="Calibri"/>
          <w:color w:val="575757"/>
          <w:spacing w:val="-4"/>
          <w:sz w:val="18"/>
        </w:rPr>
        <w:t>80,0</w:t>
      </w:r>
    </w:p>
    <w:p>
      <w:pPr>
        <w:pStyle w:val="BodyText"/>
        <w:spacing w:before="95"/>
        <w:jc w:val="left"/>
        <w:rPr>
          <w:rFonts w:ascii="Calibri"/>
          <w:sz w:val="18"/>
        </w:rPr>
      </w:pPr>
    </w:p>
    <w:p>
      <w:pPr>
        <w:spacing w:line="235" w:lineRule="auto" w:before="1"/>
        <w:ind w:left="3174" w:right="600" w:hanging="1989"/>
        <w:jc w:val="left"/>
        <w:rPr>
          <w:rFonts w:ascii="Lucida Sans Unicode"/>
          <w:sz w:val="22"/>
        </w:rPr>
      </w:pPr>
      <w:bookmarkStart w:name="_bookmark45" w:id="46"/>
      <w:bookmarkEnd w:id="46"/>
      <w:r>
        <w:rPr/>
      </w:r>
      <w:r>
        <w:rPr>
          <w:rFonts w:ascii="Tahoma"/>
          <w:b/>
          <w:w w:val="105"/>
          <w:sz w:val="22"/>
        </w:rPr>
        <w:t>Gambar</w:t>
      </w:r>
      <w:r>
        <w:rPr>
          <w:rFonts w:ascii="Tahoma"/>
          <w:b/>
          <w:spacing w:val="-17"/>
          <w:w w:val="105"/>
          <w:sz w:val="22"/>
        </w:rPr>
        <w:t> </w:t>
      </w:r>
      <w:r>
        <w:rPr>
          <w:rFonts w:ascii="Tahoma"/>
          <w:b/>
          <w:w w:val="105"/>
          <w:sz w:val="22"/>
        </w:rPr>
        <w:t>7.</w:t>
      </w:r>
      <w:r>
        <w:rPr>
          <w:rFonts w:ascii="Tahoma"/>
          <w:b/>
          <w:spacing w:val="-17"/>
          <w:w w:val="105"/>
          <w:sz w:val="22"/>
        </w:rPr>
        <w:t> </w:t>
      </w:r>
      <w:r>
        <w:rPr>
          <w:rFonts w:ascii="Lucida Sans Unicode"/>
          <w:w w:val="105"/>
          <w:sz w:val="22"/>
        </w:rPr>
        <w:t>Komposisi</w:t>
      </w:r>
      <w:r>
        <w:rPr>
          <w:rFonts w:ascii="Lucida Sans Unicode"/>
          <w:spacing w:val="-19"/>
          <w:w w:val="105"/>
          <w:sz w:val="22"/>
        </w:rPr>
        <w:t> </w:t>
      </w:r>
      <w:r>
        <w:rPr>
          <w:rFonts w:ascii="Lucida Sans Unicode"/>
          <w:w w:val="105"/>
          <w:sz w:val="22"/>
        </w:rPr>
        <w:t>Realisasi</w:t>
      </w:r>
      <w:r>
        <w:rPr>
          <w:rFonts w:ascii="Lucida Sans Unicode"/>
          <w:spacing w:val="-18"/>
          <w:w w:val="105"/>
          <w:sz w:val="22"/>
        </w:rPr>
        <w:t> </w:t>
      </w:r>
      <w:r>
        <w:rPr>
          <w:rFonts w:ascii="Lucida Sans Unicode"/>
          <w:w w:val="105"/>
          <w:sz w:val="22"/>
        </w:rPr>
        <w:t>Pendapatan</w:t>
      </w:r>
      <w:r>
        <w:rPr>
          <w:rFonts w:ascii="Lucida Sans Unicode"/>
          <w:spacing w:val="-18"/>
          <w:w w:val="105"/>
          <w:sz w:val="22"/>
        </w:rPr>
        <w:t> </w:t>
      </w:r>
      <w:r>
        <w:rPr>
          <w:rFonts w:ascii="Lucida Sans Unicode"/>
          <w:w w:val="105"/>
          <w:sz w:val="22"/>
        </w:rPr>
        <w:t>Kabupaten</w:t>
      </w:r>
      <w:r>
        <w:rPr>
          <w:rFonts w:ascii="Lucida Sans Unicode"/>
          <w:spacing w:val="-18"/>
          <w:w w:val="105"/>
          <w:sz w:val="22"/>
        </w:rPr>
        <w:t> </w:t>
      </w:r>
      <w:r>
        <w:rPr>
          <w:rFonts w:ascii="Lucida Sans Unicode"/>
          <w:w w:val="105"/>
          <w:sz w:val="22"/>
        </w:rPr>
        <w:t>Kutai Kartanegara Tahun 2022</w:t>
      </w:r>
    </w:p>
    <w:p>
      <w:pPr>
        <w:pStyle w:val="BodyText"/>
        <w:spacing w:before="179"/>
        <w:ind w:left="566"/>
        <w:jc w:val="left"/>
      </w:pPr>
      <w:r>
        <w:rPr>
          <w:i/>
        </w:rPr>
        <w:t>Sumbe</w:t>
      </w:r>
      <w:r>
        <w:rPr/>
        <w:t>r:</w:t>
      </w:r>
      <w:r>
        <w:rPr>
          <w:spacing w:val="-9"/>
        </w:rPr>
        <w:t> </w:t>
      </w:r>
      <w:r>
        <w:rPr/>
        <w:t>Diolah</w:t>
      </w:r>
      <w:r>
        <w:rPr>
          <w:spacing w:val="-5"/>
        </w:rPr>
        <w:t> </w:t>
      </w:r>
      <w:r>
        <w:rPr/>
        <w:t>dari</w:t>
      </w:r>
      <w:r>
        <w:rPr>
          <w:spacing w:val="-5"/>
        </w:rPr>
        <w:t> </w:t>
      </w:r>
      <w:r>
        <w:rPr/>
        <w:t>berbagai</w:t>
      </w:r>
      <w:r>
        <w:rPr>
          <w:spacing w:val="-4"/>
        </w:rPr>
        <w:t> </w:t>
      </w:r>
      <w:r>
        <w:rPr>
          <w:spacing w:val="-2"/>
        </w:rPr>
        <w:t>sumber.</w:t>
      </w:r>
    </w:p>
    <w:p>
      <w:pPr>
        <w:pStyle w:val="BodyText"/>
        <w:jc w:val="left"/>
      </w:pPr>
    </w:p>
    <w:p>
      <w:pPr>
        <w:pStyle w:val="BodyText"/>
        <w:spacing w:line="360" w:lineRule="auto"/>
        <w:ind w:left="1248" w:right="699" w:firstLine="720"/>
      </w:pPr>
      <w:r>
        <w:rPr/>
        <w:t>Hasil penghitungan Bapenda Kabupaten Kutai Kartanegara berdasar</w:t>
      </w:r>
      <w:r>
        <w:rPr>
          <w:spacing w:val="-17"/>
        </w:rPr>
        <w:t> </w:t>
      </w:r>
      <w:r>
        <w:rPr/>
        <w:t>LPKD</w:t>
      </w:r>
      <w:r>
        <w:rPr>
          <w:spacing w:val="-16"/>
        </w:rPr>
        <w:t> </w:t>
      </w:r>
      <w:r>
        <w:rPr/>
        <w:t>tahun</w:t>
      </w:r>
      <w:r>
        <w:rPr>
          <w:spacing w:val="-17"/>
        </w:rPr>
        <w:t> </w:t>
      </w:r>
      <w:r>
        <w:rPr/>
        <w:t>2022</w:t>
      </w:r>
      <w:r>
        <w:rPr>
          <w:spacing w:val="-16"/>
        </w:rPr>
        <w:t> </w:t>
      </w:r>
      <w:r>
        <w:rPr>
          <w:i/>
        </w:rPr>
        <w:t>audited</w:t>
      </w:r>
      <w:r>
        <w:rPr>
          <w:i/>
          <w:spacing w:val="-17"/>
        </w:rPr>
        <w:t> </w:t>
      </w:r>
      <w:r>
        <w:rPr/>
        <w:t>BPK,</w:t>
      </w:r>
      <w:r>
        <w:rPr>
          <w:spacing w:val="-16"/>
        </w:rPr>
        <w:t> </w:t>
      </w:r>
      <w:r>
        <w:rPr/>
        <w:t>potensi</w:t>
      </w:r>
      <w:r>
        <w:rPr>
          <w:spacing w:val="-17"/>
        </w:rPr>
        <w:t> </w:t>
      </w:r>
      <w:r>
        <w:rPr/>
        <w:t>kerugian</w:t>
      </w:r>
      <w:r>
        <w:rPr>
          <w:spacing w:val="-16"/>
        </w:rPr>
        <w:t> </w:t>
      </w:r>
      <w:r>
        <w:rPr/>
        <w:t>aset</w:t>
      </w:r>
      <w:r>
        <w:rPr>
          <w:spacing w:val="-16"/>
        </w:rPr>
        <w:t> </w:t>
      </w:r>
      <w:r>
        <w:rPr/>
        <w:t>sebesar Rp4,230,204,638,747 dengan estimasi aset 9.429 item. Estimasi Kerugian</w:t>
      </w:r>
      <w:r>
        <w:rPr>
          <w:spacing w:val="-12"/>
        </w:rPr>
        <w:t> </w:t>
      </w:r>
      <w:r>
        <w:rPr/>
        <w:t>Aset</w:t>
      </w:r>
      <w:r>
        <w:rPr>
          <w:spacing w:val="-11"/>
        </w:rPr>
        <w:t> </w:t>
      </w:r>
      <w:r>
        <w:rPr/>
        <w:t>tanah</w:t>
      </w:r>
      <w:r>
        <w:rPr>
          <w:spacing w:val="-12"/>
        </w:rPr>
        <w:t> </w:t>
      </w:r>
      <w:r>
        <w:rPr/>
        <w:t>yang</w:t>
      </w:r>
      <w:r>
        <w:rPr>
          <w:spacing w:val="-12"/>
        </w:rPr>
        <w:t> </w:t>
      </w:r>
      <w:r>
        <w:rPr/>
        <w:t>terletak</w:t>
      </w:r>
      <w:r>
        <w:rPr>
          <w:spacing w:val="-11"/>
        </w:rPr>
        <w:t> </w:t>
      </w:r>
      <w:r>
        <w:rPr/>
        <w:t>di</w:t>
      </w:r>
      <w:r>
        <w:rPr>
          <w:spacing w:val="-12"/>
        </w:rPr>
        <w:t> </w:t>
      </w:r>
      <w:r>
        <w:rPr/>
        <w:t>wilayah</w:t>
      </w:r>
      <w:r>
        <w:rPr>
          <w:spacing w:val="-12"/>
        </w:rPr>
        <w:t> </w:t>
      </w:r>
      <w:r>
        <w:rPr/>
        <w:t>terdampak</w:t>
      </w:r>
      <w:r>
        <w:rPr>
          <w:spacing w:val="-14"/>
        </w:rPr>
        <w:t> </w:t>
      </w:r>
      <w:r>
        <w:rPr/>
        <w:t>IKN,</w:t>
      </w:r>
      <w:r>
        <w:rPr>
          <w:spacing w:val="-11"/>
        </w:rPr>
        <w:t> </w:t>
      </w:r>
      <w:r>
        <w:rPr/>
        <w:t>meliputi bangunan kantor, aset tanah bawah jalan, aset tanah kosong, aset tanah fasilitas umum serta aset tanah yang sudah diperuntukkan penggunaaannya dari 8 OPD dan 6 kecamatan, berpotensi senilai Rp174,063,772,147,40. Sedangkan aset gedung dan bangunan meliputi</w:t>
      </w:r>
      <w:r>
        <w:rPr>
          <w:spacing w:val="40"/>
        </w:rPr>
        <w:t> </w:t>
      </w:r>
      <w:r>
        <w:rPr/>
        <w:t>kantor</w:t>
      </w:r>
      <w:r>
        <w:rPr>
          <w:spacing w:val="40"/>
        </w:rPr>
        <w:t> </w:t>
      </w:r>
      <w:r>
        <w:rPr/>
        <w:t>UPT,</w:t>
      </w:r>
      <w:r>
        <w:rPr>
          <w:spacing w:val="40"/>
        </w:rPr>
        <w:t> </w:t>
      </w:r>
      <w:r>
        <w:rPr/>
        <w:t>sekolah,</w:t>
      </w:r>
      <w:r>
        <w:rPr>
          <w:spacing w:val="40"/>
        </w:rPr>
        <w:t> </w:t>
      </w:r>
      <w:r>
        <w:rPr/>
        <w:t>rumah</w:t>
      </w:r>
      <w:r>
        <w:rPr>
          <w:spacing w:val="40"/>
        </w:rPr>
        <w:t> </w:t>
      </w:r>
      <w:r>
        <w:rPr/>
        <w:t>sakit,</w:t>
      </w:r>
      <w:r>
        <w:rPr>
          <w:spacing w:val="40"/>
        </w:rPr>
        <w:t> </w:t>
      </w:r>
      <w:r>
        <w:rPr/>
        <w:t>puskesmas,</w:t>
      </w:r>
      <w:r>
        <w:rPr>
          <w:spacing w:val="40"/>
        </w:rPr>
        <w:t> </w:t>
      </w:r>
      <w:r>
        <w:rPr/>
        <w:t>puskesmas</w:t>
      </w:r>
    </w:p>
    <w:p>
      <w:pPr>
        <w:pStyle w:val="BodyText"/>
        <w:spacing w:after="0" w:line="360" w:lineRule="auto"/>
        <w:sectPr>
          <w:pgSz w:w="11910" w:h="16840"/>
          <w:pgMar w:header="0" w:footer="1186" w:top="1580" w:bottom="1380" w:left="1700" w:right="992"/>
        </w:sectPr>
      </w:pPr>
    </w:p>
    <w:p>
      <w:pPr>
        <w:pStyle w:val="BodyText"/>
        <w:spacing w:line="360" w:lineRule="auto" w:before="82"/>
        <w:ind w:left="1248" w:right="701"/>
      </w:pPr>
      <w:r>
        <w:rPr/>
        <w:t>pembantu, pelabuhan, serta bangunan fasilitas umum lainnya milik Pemerintah Daerah Kabupaten Kutai Kartanegara, menurut perhitungan Bapenda tahun 2022, berpotensi kerugian senilai Rp1,197,966,737,872 dengan total unit 2,605.</w:t>
      </w:r>
    </w:p>
    <w:p>
      <w:pPr>
        <w:pStyle w:val="BodyText"/>
        <w:spacing w:line="360" w:lineRule="auto" w:before="5"/>
        <w:ind w:left="1248" w:right="702" w:firstLine="720"/>
      </w:pPr>
      <w:r>
        <w:rPr/>
        <w:t>Kabupaten Kutai Kartanegara saat ini telah membuat daftar asset daerah yang wilayah administrasinya masuk ke dalam wilayah IKN</w:t>
      </w:r>
      <w:r>
        <w:rPr>
          <w:spacing w:val="-17"/>
        </w:rPr>
        <w:t> </w:t>
      </w:r>
      <w:r>
        <w:rPr/>
        <w:t>dan</w:t>
      </w:r>
      <w:r>
        <w:rPr>
          <w:spacing w:val="-16"/>
        </w:rPr>
        <w:t> </w:t>
      </w:r>
      <w:r>
        <w:rPr/>
        <w:t>saat</w:t>
      </w:r>
      <w:r>
        <w:rPr>
          <w:spacing w:val="-17"/>
        </w:rPr>
        <w:t> </w:t>
      </w:r>
      <w:r>
        <w:rPr/>
        <w:t>ini</w:t>
      </w:r>
      <w:r>
        <w:rPr>
          <w:spacing w:val="-16"/>
        </w:rPr>
        <w:t> </w:t>
      </w:r>
      <w:r>
        <w:rPr/>
        <w:t>data</w:t>
      </w:r>
      <w:r>
        <w:rPr>
          <w:spacing w:val="-17"/>
        </w:rPr>
        <w:t> </w:t>
      </w:r>
      <w:r>
        <w:rPr/>
        <w:t>aset</w:t>
      </w:r>
      <w:r>
        <w:rPr>
          <w:spacing w:val="-16"/>
        </w:rPr>
        <w:t> </w:t>
      </w:r>
      <w:r>
        <w:rPr/>
        <w:t>sudah</w:t>
      </w:r>
      <w:r>
        <w:rPr>
          <w:spacing w:val="-17"/>
        </w:rPr>
        <w:t> </w:t>
      </w:r>
      <w:r>
        <w:rPr/>
        <w:t>diserahkan</w:t>
      </w:r>
      <w:r>
        <w:rPr>
          <w:spacing w:val="-16"/>
        </w:rPr>
        <w:t> </w:t>
      </w:r>
      <w:r>
        <w:rPr/>
        <w:t>kepada</w:t>
      </w:r>
      <w:r>
        <w:rPr>
          <w:spacing w:val="-16"/>
        </w:rPr>
        <w:t> </w:t>
      </w:r>
      <w:r>
        <w:rPr/>
        <w:t>Pemerintah</w:t>
      </w:r>
      <w:r>
        <w:rPr>
          <w:spacing w:val="-17"/>
        </w:rPr>
        <w:t> </w:t>
      </w:r>
      <w:r>
        <w:rPr/>
        <w:t>Pusat. Namun hingga saat ini belum ada informasi apakah nantinya dapat penggantian atau tidak. rencana penyerahan aset akan dilaksanakan bersamaan dengan penyerahan SDM.</w:t>
      </w:r>
    </w:p>
    <w:p>
      <w:pPr>
        <w:pStyle w:val="BodyText"/>
        <w:spacing w:line="360" w:lineRule="auto"/>
        <w:ind w:left="1248" w:right="704" w:firstLine="720"/>
      </w:pPr>
      <w:r>
        <w:rPr/>
        <w:t>Selain perhitungan pendapatan pajak yang masih besar di pusat, bergabungnya 6 kecamatan Kabupaten Kutai Kartanegara ke IKN ini berpotensi terhadap berkurangnya besaran alokasi Dana Transfer</w:t>
      </w:r>
      <w:r>
        <w:rPr>
          <w:spacing w:val="-17"/>
        </w:rPr>
        <w:t> </w:t>
      </w:r>
      <w:r>
        <w:rPr/>
        <w:t>Ke</w:t>
      </w:r>
      <w:r>
        <w:rPr>
          <w:spacing w:val="-16"/>
        </w:rPr>
        <w:t> </w:t>
      </w:r>
      <w:r>
        <w:rPr/>
        <w:t>Daerah</w:t>
      </w:r>
      <w:r>
        <w:rPr>
          <w:spacing w:val="-17"/>
        </w:rPr>
        <w:t> </w:t>
      </w:r>
      <w:r>
        <w:rPr/>
        <w:t>(TKD).</w:t>
      </w:r>
      <w:r>
        <w:rPr>
          <w:spacing w:val="-16"/>
        </w:rPr>
        <w:t> </w:t>
      </w:r>
      <w:r>
        <w:rPr/>
        <w:t>Menurut</w:t>
      </w:r>
      <w:r>
        <w:rPr>
          <w:spacing w:val="-14"/>
        </w:rPr>
        <w:t> </w:t>
      </w:r>
      <w:r>
        <w:rPr/>
        <w:t>UU</w:t>
      </w:r>
      <w:r>
        <w:rPr>
          <w:spacing w:val="-17"/>
        </w:rPr>
        <w:t> </w:t>
      </w:r>
      <w:r>
        <w:rPr/>
        <w:t>Nomor</w:t>
      </w:r>
      <w:r>
        <w:rPr>
          <w:spacing w:val="-10"/>
        </w:rPr>
        <w:t> </w:t>
      </w:r>
      <w:r>
        <w:rPr/>
        <w:t>1</w:t>
      </w:r>
      <w:r>
        <w:rPr>
          <w:spacing w:val="-17"/>
        </w:rPr>
        <w:t> </w:t>
      </w:r>
      <w:r>
        <w:rPr/>
        <w:t>Tahun</w:t>
      </w:r>
      <w:r>
        <w:rPr>
          <w:spacing w:val="-13"/>
        </w:rPr>
        <w:t> </w:t>
      </w:r>
      <w:r>
        <w:rPr/>
        <w:t>2022</w:t>
      </w:r>
      <w:r>
        <w:rPr>
          <w:spacing w:val="35"/>
        </w:rPr>
        <w:t> </w:t>
      </w:r>
      <w:r>
        <w:rPr/>
        <w:t>Tentang Hubungan Keuangan Pemerintah Pusat dan Pemerintahan Daerah (HKPD), bahwa</w:t>
      </w:r>
      <w:r>
        <w:rPr>
          <w:spacing w:val="-1"/>
        </w:rPr>
        <w:t> </w:t>
      </w:r>
      <w:r>
        <w:rPr/>
        <w:t>salah satu tujuan dari Dana</w:t>
      </w:r>
      <w:r>
        <w:rPr>
          <w:spacing w:val="-1"/>
        </w:rPr>
        <w:t> </w:t>
      </w:r>
      <w:r>
        <w:rPr/>
        <w:t>Transfer Ke Daerah (TKD) ini untuk mengurangi ketimpangan horizontal dan vertikal menuju pemerataan layanan dan kesehatan. Dalam UU HKPD terdapat perubahan kebijakan jenis Transfer ke Daerah. Undang-Undang Nomor 33 Tahun 2004 mengatur 3 (tiga) jenis Dana Perimbangan, sedangkan dalam UU 1/2022 tentang HKPD, terdiri atas 8 (delapan) jenis transfer ke daerah berdasar yaitu : Dana</w:t>
      </w:r>
      <w:r>
        <w:rPr>
          <w:spacing w:val="-1"/>
        </w:rPr>
        <w:t> </w:t>
      </w:r>
      <w:r>
        <w:rPr/>
        <w:t>Bagi Hasil (DBH); Dana Alokasi Umum (DAU); Dana Alokasi Fisik (DAK Fisik); DAK Nonfisik; Hibah ke Daerah; Dana Otonomi Khusus; Dana Keistimewaan dan Dana Desa.</w:t>
      </w:r>
    </w:p>
    <w:p>
      <w:pPr>
        <w:pStyle w:val="BodyText"/>
        <w:spacing w:line="360" w:lineRule="auto" w:before="4"/>
        <w:ind w:left="1248" w:right="701" w:firstLine="720"/>
      </w:pPr>
      <w:r>
        <w:rPr/>
        <w:t>Berdasarkan Laporan Keuangan Pemerintah Daerah (LKPD) Kabupaten Kutai Kartanegara, Hasil Pemeriksaan BPK tahun 2019- 2021,</w:t>
      </w:r>
      <w:r>
        <w:rPr>
          <w:spacing w:val="40"/>
        </w:rPr>
        <w:t> </w:t>
      </w:r>
      <w:r>
        <w:rPr/>
        <w:t>rata-rata</w:t>
      </w:r>
      <w:r>
        <w:rPr>
          <w:spacing w:val="30"/>
        </w:rPr>
        <w:t> </w:t>
      </w:r>
      <w:r>
        <w:rPr/>
        <w:t>alokasi</w:t>
      </w:r>
      <w:r>
        <w:rPr>
          <w:spacing w:val="31"/>
        </w:rPr>
        <w:t> </w:t>
      </w:r>
      <w:r>
        <w:rPr/>
        <w:t>Pendapatan</w:t>
      </w:r>
      <w:r>
        <w:rPr>
          <w:spacing w:val="31"/>
        </w:rPr>
        <w:t> </w:t>
      </w:r>
      <w:r>
        <w:rPr/>
        <w:t>Dana Bagi</w:t>
      </w:r>
      <w:r>
        <w:rPr>
          <w:spacing w:val="31"/>
        </w:rPr>
        <w:t> </w:t>
      </w:r>
      <w:r>
        <w:rPr/>
        <w:t>Hasil</w:t>
      </w:r>
      <w:r>
        <w:rPr>
          <w:spacing w:val="31"/>
        </w:rPr>
        <w:t> </w:t>
      </w:r>
      <w:r>
        <w:rPr/>
        <w:t>adalah</w:t>
      </w:r>
      <w:r>
        <w:rPr>
          <w:spacing w:val="30"/>
        </w:rPr>
        <w:t> </w:t>
      </w:r>
      <w:r>
        <w:rPr/>
        <w:t>53,4</w:t>
      </w:r>
      <w:r>
        <w:rPr>
          <w:spacing w:val="32"/>
        </w:rPr>
        <w:t> </w:t>
      </w:r>
      <w:r>
        <w:rPr/>
        <w:t>%</w:t>
      </w:r>
    </w:p>
    <w:p>
      <w:pPr>
        <w:pStyle w:val="BodyText"/>
        <w:spacing w:after="0" w:line="360" w:lineRule="auto"/>
        <w:sectPr>
          <w:pgSz w:w="11910" w:h="16840"/>
          <w:pgMar w:header="0" w:footer="1186" w:top="1580" w:bottom="1380" w:left="1700" w:right="992"/>
        </w:sectPr>
      </w:pPr>
    </w:p>
    <w:p>
      <w:pPr>
        <w:pStyle w:val="BodyText"/>
        <w:spacing w:before="82"/>
        <w:ind w:left="1248"/>
      </w:pPr>
      <w:r>
        <w:rPr>
          <w:spacing w:val="-2"/>
        </w:rPr>
        <w:t>terhadap</w:t>
      </w:r>
      <w:r>
        <w:rPr>
          <w:spacing w:val="-13"/>
        </w:rPr>
        <w:t> </w:t>
      </w:r>
      <w:r>
        <w:rPr>
          <w:spacing w:val="-2"/>
        </w:rPr>
        <w:t>total</w:t>
      </w:r>
      <w:r>
        <w:rPr>
          <w:spacing w:val="-9"/>
        </w:rPr>
        <w:t> </w:t>
      </w:r>
      <w:r>
        <w:rPr>
          <w:spacing w:val="-2"/>
        </w:rPr>
        <w:t>Pendapatan</w:t>
      </w:r>
      <w:r>
        <w:rPr>
          <w:spacing w:val="-9"/>
        </w:rPr>
        <w:t> </w:t>
      </w:r>
      <w:r>
        <w:rPr>
          <w:spacing w:val="-2"/>
        </w:rPr>
        <w:t>Dana</w:t>
      </w:r>
      <w:r>
        <w:rPr>
          <w:spacing w:val="-12"/>
        </w:rPr>
        <w:t> </w:t>
      </w:r>
      <w:r>
        <w:rPr>
          <w:spacing w:val="-2"/>
        </w:rPr>
        <w:t>Perimbangan,</w:t>
      </w:r>
      <w:r>
        <w:rPr>
          <w:spacing w:val="-7"/>
        </w:rPr>
        <w:t> </w:t>
      </w:r>
      <w:r>
        <w:rPr>
          <w:spacing w:val="-2"/>
        </w:rPr>
        <w:t>DAU</w:t>
      </w:r>
      <w:r>
        <w:rPr>
          <w:spacing w:val="-11"/>
        </w:rPr>
        <w:t> </w:t>
      </w:r>
      <w:r>
        <w:rPr>
          <w:spacing w:val="-2"/>
        </w:rPr>
        <w:t>13,9</w:t>
      </w:r>
      <w:r>
        <w:rPr>
          <w:spacing w:val="-9"/>
        </w:rPr>
        <w:t> </w:t>
      </w:r>
      <w:r>
        <w:rPr>
          <w:spacing w:val="-2"/>
        </w:rPr>
        <w:t>%,</w:t>
      </w:r>
      <w:r>
        <w:rPr>
          <w:spacing w:val="-8"/>
        </w:rPr>
        <w:t> </w:t>
      </w:r>
      <w:r>
        <w:rPr>
          <w:spacing w:val="-2"/>
        </w:rPr>
        <w:t>DAK</w:t>
      </w:r>
      <w:r>
        <w:rPr>
          <w:spacing w:val="-8"/>
        </w:rPr>
        <w:t> </w:t>
      </w:r>
      <w:r>
        <w:rPr>
          <w:spacing w:val="-2"/>
        </w:rPr>
        <w:t>Fisik</w:t>
      </w:r>
    </w:p>
    <w:p>
      <w:pPr>
        <w:pStyle w:val="BodyText"/>
        <w:spacing w:line="362" w:lineRule="auto" w:before="161"/>
        <w:ind w:left="1248" w:right="704"/>
      </w:pPr>
      <w:r>
        <w:rPr/>
        <w:t>3 % dan DAK non fisik 7,3% terhadap total Pendapatan Dana Perimbangan (data diolah tim peneliti, 2023).</w:t>
      </w:r>
    </w:p>
    <w:p>
      <w:pPr>
        <w:pStyle w:val="BodyText"/>
        <w:spacing w:line="360" w:lineRule="auto"/>
        <w:ind w:left="1248" w:right="699" w:firstLine="720"/>
      </w:pPr>
      <w:r>
        <w:rPr/>
        <w:t>Berdasarkan realisasi anggaran tahun 2022, perhitungan Bapenda Kabupaten Kutai Kartanegara, Pemerintah Daerah berpotensi</w:t>
      </w:r>
      <w:r>
        <w:rPr>
          <w:spacing w:val="-6"/>
        </w:rPr>
        <w:t> </w:t>
      </w:r>
      <w:r>
        <w:rPr/>
        <w:t>kehilangan</w:t>
      </w:r>
      <w:r>
        <w:rPr>
          <w:spacing w:val="-6"/>
        </w:rPr>
        <w:t> </w:t>
      </w:r>
      <w:r>
        <w:rPr/>
        <w:t>pajak</w:t>
      </w:r>
      <w:r>
        <w:rPr>
          <w:spacing w:val="-5"/>
        </w:rPr>
        <w:t> </w:t>
      </w:r>
      <w:r>
        <w:rPr/>
        <w:t>dari</w:t>
      </w:r>
      <w:r>
        <w:rPr>
          <w:spacing w:val="-7"/>
        </w:rPr>
        <w:t> </w:t>
      </w:r>
      <w:r>
        <w:rPr/>
        <w:t>Dana</w:t>
      </w:r>
      <w:r>
        <w:rPr>
          <w:spacing w:val="-8"/>
        </w:rPr>
        <w:t> </w:t>
      </w:r>
      <w:r>
        <w:rPr/>
        <w:t>Bagi</w:t>
      </w:r>
      <w:r>
        <w:rPr>
          <w:spacing w:val="-6"/>
        </w:rPr>
        <w:t> </w:t>
      </w:r>
      <w:r>
        <w:rPr/>
        <w:t>Hasil</w:t>
      </w:r>
      <w:r>
        <w:rPr>
          <w:spacing w:val="-6"/>
        </w:rPr>
        <w:t> </w:t>
      </w:r>
      <w:r>
        <w:rPr/>
        <w:t>Minerba</w:t>
      </w:r>
      <w:r>
        <w:rPr>
          <w:spacing w:val="-8"/>
        </w:rPr>
        <w:t> </w:t>
      </w:r>
      <w:r>
        <w:rPr/>
        <w:t>dan</w:t>
      </w:r>
      <w:r>
        <w:rPr>
          <w:spacing w:val="-7"/>
        </w:rPr>
        <w:t> </w:t>
      </w:r>
      <w:r>
        <w:rPr/>
        <w:t>Migas sebesar Rp1.985.540.635.170. Dengan rincian potensi Pajak Daerah yang hilang sebesar Rp5.895.045.679,00. Pendapatan Minerba berpotensi hilang Rp488.461.292.134. PBB P3 Migas berpotensi hilang Rp755.768.128.548 serta Migas potensi hilang </w:t>
      </w:r>
      <w:r>
        <w:rPr>
          <w:spacing w:val="-2"/>
        </w:rPr>
        <w:t>Rp741.311.214.488.</w:t>
      </w:r>
    </w:p>
    <w:p>
      <w:pPr>
        <w:pStyle w:val="BodyText"/>
        <w:spacing w:before="7"/>
        <w:jc w:val="left"/>
      </w:pPr>
    </w:p>
    <w:p>
      <w:pPr>
        <w:spacing w:before="1"/>
        <w:ind w:left="716" w:right="845" w:firstLine="0"/>
        <w:jc w:val="center"/>
        <w:rPr>
          <w:rFonts w:ascii="Lucida Sans Unicode"/>
          <w:sz w:val="22"/>
        </w:rPr>
      </w:pPr>
      <w:bookmarkStart w:name="_bookmark46" w:id="47"/>
      <w:bookmarkEnd w:id="47"/>
      <w:r>
        <w:rPr/>
      </w:r>
      <w:r>
        <w:rPr>
          <w:rFonts w:ascii="Tahoma"/>
          <w:b/>
          <w:sz w:val="22"/>
        </w:rPr>
        <w:t>Tabel</w:t>
      </w:r>
      <w:r>
        <w:rPr>
          <w:rFonts w:ascii="Tahoma"/>
          <w:b/>
          <w:spacing w:val="6"/>
          <w:sz w:val="22"/>
        </w:rPr>
        <w:t> </w:t>
      </w:r>
      <w:r>
        <w:rPr>
          <w:rFonts w:ascii="Tahoma"/>
          <w:b/>
          <w:sz w:val="22"/>
        </w:rPr>
        <w:t>7. </w:t>
      </w:r>
      <w:r>
        <w:rPr>
          <w:rFonts w:ascii="Lucida Sans Unicode"/>
          <w:sz w:val="22"/>
        </w:rPr>
        <w:t>Simulasi</w:t>
      </w:r>
      <w:r>
        <w:rPr>
          <w:rFonts w:ascii="Lucida Sans Unicode"/>
          <w:spacing w:val="17"/>
          <w:sz w:val="22"/>
        </w:rPr>
        <w:t> </w:t>
      </w:r>
      <w:r>
        <w:rPr>
          <w:rFonts w:ascii="Lucida Sans Unicode"/>
          <w:sz w:val="22"/>
        </w:rPr>
        <w:t>Perubahan</w:t>
      </w:r>
      <w:r>
        <w:rPr>
          <w:rFonts w:ascii="Lucida Sans Unicode"/>
          <w:spacing w:val="17"/>
          <w:sz w:val="22"/>
        </w:rPr>
        <w:t> </w:t>
      </w:r>
      <w:r>
        <w:rPr>
          <w:rFonts w:ascii="Lucida Sans Unicode"/>
          <w:sz w:val="22"/>
        </w:rPr>
        <w:t>Data</w:t>
      </w:r>
      <w:r>
        <w:rPr>
          <w:rFonts w:ascii="Lucida Sans Unicode"/>
          <w:spacing w:val="16"/>
          <w:sz w:val="22"/>
        </w:rPr>
        <w:t> </w:t>
      </w:r>
      <w:r>
        <w:rPr>
          <w:rFonts w:ascii="Lucida Sans Unicode"/>
          <w:sz w:val="22"/>
        </w:rPr>
        <w:t>Dasar</w:t>
      </w:r>
      <w:r>
        <w:rPr>
          <w:rFonts w:ascii="Lucida Sans Unicode"/>
          <w:spacing w:val="19"/>
          <w:sz w:val="22"/>
        </w:rPr>
        <w:t> </w:t>
      </w:r>
      <w:r>
        <w:rPr>
          <w:rFonts w:ascii="Lucida Sans Unicode"/>
          <w:sz w:val="22"/>
        </w:rPr>
        <w:t>Karena</w:t>
      </w:r>
      <w:r>
        <w:rPr>
          <w:rFonts w:ascii="Lucida Sans Unicode"/>
          <w:spacing w:val="17"/>
          <w:sz w:val="22"/>
        </w:rPr>
        <w:t> </w:t>
      </w:r>
      <w:r>
        <w:rPr>
          <w:rFonts w:ascii="Lucida Sans Unicode"/>
          <w:spacing w:val="-5"/>
          <w:sz w:val="22"/>
        </w:rPr>
        <w:t>IKN</w:t>
      </w:r>
    </w:p>
    <w:p>
      <w:pPr>
        <w:pStyle w:val="BodyText"/>
        <w:spacing w:before="7"/>
        <w:jc w:val="left"/>
        <w:rPr>
          <w:rFonts w:ascii="Lucida Sans Unicode"/>
          <w:sz w:val="11"/>
        </w:rPr>
      </w:pPr>
    </w:p>
    <w:tbl>
      <w:tblPr>
        <w:tblW w:w="0" w:type="auto"/>
        <w:jc w:val="left"/>
        <w:tblInd w:w="1467"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top w:w="0" w:type="dxa"/>
          <w:left w:w="0" w:type="dxa"/>
          <w:bottom w:w="0" w:type="dxa"/>
          <w:right w:w="0" w:type="dxa"/>
        </w:tblCellMar>
        <w:tblLook w:val="01E0"/>
      </w:tblPr>
      <w:tblGrid>
        <w:gridCol w:w="787"/>
        <w:gridCol w:w="3232"/>
        <w:gridCol w:w="2151"/>
      </w:tblGrid>
      <w:tr>
        <w:trPr>
          <w:trHeight w:val="336" w:hRule="atLeast"/>
        </w:trPr>
        <w:tc>
          <w:tcPr>
            <w:tcW w:w="787" w:type="dxa"/>
            <w:tcBorders>
              <w:top w:val="nil"/>
              <w:left w:val="nil"/>
              <w:bottom w:val="nil"/>
              <w:right w:val="nil"/>
            </w:tcBorders>
            <w:shd w:val="clear" w:color="auto" w:fill="4F81BB"/>
          </w:tcPr>
          <w:p>
            <w:pPr>
              <w:pStyle w:val="TableParagraph"/>
              <w:spacing w:line="315" w:lineRule="exact"/>
              <w:ind w:left="201"/>
              <w:rPr>
                <w:b/>
                <w:sz w:val="24"/>
              </w:rPr>
            </w:pPr>
            <w:r>
              <w:rPr>
                <w:b/>
                <w:color w:val="FFFFFF"/>
                <w:spacing w:val="-5"/>
                <w:sz w:val="24"/>
              </w:rPr>
              <w:t>No.</w:t>
            </w:r>
          </w:p>
        </w:tc>
        <w:tc>
          <w:tcPr>
            <w:tcW w:w="3232" w:type="dxa"/>
            <w:tcBorders>
              <w:top w:val="nil"/>
              <w:left w:val="nil"/>
              <w:bottom w:val="nil"/>
              <w:right w:val="nil"/>
            </w:tcBorders>
            <w:shd w:val="clear" w:color="auto" w:fill="4F81BB"/>
          </w:tcPr>
          <w:p>
            <w:pPr>
              <w:pStyle w:val="TableParagraph"/>
              <w:spacing w:line="315" w:lineRule="exact"/>
              <w:ind w:left="1008"/>
              <w:rPr>
                <w:b/>
                <w:sz w:val="24"/>
              </w:rPr>
            </w:pPr>
            <w:r>
              <w:rPr>
                <w:b/>
                <w:color w:val="FFFFFF"/>
                <w:sz w:val="24"/>
              </w:rPr>
              <w:t>Data</w:t>
            </w:r>
            <w:r>
              <w:rPr>
                <w:b/>
                <w:color w:val="FFFFFF"/>
                <w:spacing w:val="-7"/>
                <w:sz w:val="24"/>
              </w:rPr>
              <w:t> </w:t>
            </w:r>
            <w:r>
              <w:rPr>
                <w:b/>
                <w:color w:val="FFFFFF"/>
                <w:spacing w:val="-4"/>
                <w:sz w:val="24"/>
              </w:rPr>
              <w:t>Dasar</w:t>
            </w:r>
          </w:p>
        </w:tc>
        <w:tc>
          <w:tcPr>
            <w:tcW w:w="2151" w:type="dxa"/>
            <w:tcBorders>
              <w:top w:val="nil"/>
              <w:left w:val="nil"/>
              <w:bottom w:val="nil"/>
              <w:right w:val="nil"/>
            </w:tcBorders>
            <w:shd w:val="clear" w:color="auto" w:fill="4F81BB"/>
          </w:tcPr>
          <w:p>
            <w:pPr>
              <w:pStyle w:val="TableParagraph"/>
              <w:spacing w:line="315" w:lineRule="exact"/>
              <w:ind w:left="10"/>
              <w:jc w:val="center"/>
              <w:rPr>
                <w:b/>
                <w:sz w:val="24"/>
              </w:rPr>
            </w:pPr>
            <w:r>
              <w:rPr>
                <w:b/>
                <w:color w:val="FFFFFF"/>
                <w:sz w:val="24"/>
              </w:rPr>
              <w:t>Sesudah</w:t>
            </w:r>
            <w:r>
              <w:rPr>
                <w:b/>
                <w:color w:val="FFFFFF"/>
                <w:spacing w:val="-3"/>
                <w:sz w:val="24"/>
              </w:rPr>
              <w:t> </w:t>
            </w:r>
            <w:r>
              <w:rPr>
                <w:b/>
                <w:color w:val="FFFFFF"/>
                <w:spacing w:val="-5"/>
                <w:sz w:val="24"/>
              </w:rPr>
              <w:t>IKN</w:t>
            </w:r>
          </w:p>
        </w:tc>
      </w:tr>
      <w:tr>
        <w:trPr>
          <w:trHeight w:val="321" w:hRule="atLeast"/>
        </w:trPr>
        <w:tc>
          <w:tcPr>
            <w:tcW w:w="787" w:type="dxa"/>
            <w:tcBorders>
              <w:top w:val="nil"/>
            </w:tcBorders>
            <w:shd w:val="clear" w:color="auto" w:fill="DBE3EF"/>
          </w:tcPr>
          <w:p>
            <w:pPr>
              <w:pStyle w:val="TableParagraph"/>
              <w:spacing w:line="300" w:lineRule="exact"/>
              <w:ind w:left="110"/>
              <w:rPr>
                <w:b/>
                <w:sz w:val="24"/>
              </w:rPr>
            </w:pPr>
            <w:r>
              <w:rPr>
                <w:b/>
                <w:spacing w:val="-5"/>
                <w:sz w:val="24"/>
              </w:rPr>
              <w:t>1.</w:t>
            </w:r>
          </w:p>
        </w:tc>
        <w:tc>
          <w:tcPr>
            <w:tcW w:w="3232" w:type="dxa"/>
            <w:tcBorders>
              <w:top w:val="nil"/>
            </w:tcBorders>
            <w:shd w:val="clear" w:color="auto" w:fill="DBE3EF"/>
          </w:tcPr>
          <w:p>
            <w:pPr>
              <w:pStyle w:val="TableParagraph"/>
              <w:spacing w:line="300" w:lineRule="exact"/>
              <w:ind w:left="110"/>
              <w:rPr>
                <w:sz w:val="24"/>
              </w:rPr>
            </w:pPr>
            <w:r>
              <w:rPr>
                <w:sz w:val="24"/>
              </w:rPr>
              <w:t>Luas</w:t>
            </w:r>
            <w:r>
              <w:rPr>
                <w:spacing w:val="-8"/>
                <w:sz w:val="24"/>
              </w:rPr>
              <w:t> </w:t>
            </w:r>
            <w:r>
              <w:rPr>
                <w:sz w:val="24"/>
              </w:rPr>
              <w:t>Wilayah</w:t>
            </w:r>
            <w:r>
              <w:rPr>
                <w:spacing w:val="-7"/>
                <w:sz w:val="24"/>
              </w:rPr>
              <w:t> </w:t>
            </w:r>
            <w:r>
              <w:rPr>
                <w:spacing w:val="-2"/>
                <w:sz w:val="24"/>
              </w:rPr>
              <w:t>(km2)</w:t>
            </w:r>
          </w:p>
        </w:tc>
        <w:tc>
          <w:tcPr>
            <w:tcW w:w="2151" w:type="dxa"/>
            <w:tcBorders>
              <w:top w:val="nil"/>
            </w:tcBorders>
            <w:shd w:val="clear" w:color="auto" w:fill="DBE3EF"/>
          </w:tcPr>
          <w:p>
            <w:pPr>
              <w:pStyle w:val="TableParagraph"/>
              <w:spacing w:line="300" w:lineRule="exact"/>
              <w:ind w:left="13"/>
              <w:jc w:val="center"/>
              <w:rPr>
                <w:sz w:val="24"/>
              </w:rPr>
            </w:pPr>
            <w:r>
              <w:rPr>
                <w:spacing w:val="-5"/>
                <w:sz w:val="24"/>
              </w:rPr>
              <w:t>92%</w:t>
            </w:r>
          </w:p>
        </w:tc>
      </w:tr>
      <w:tr>
        <w:trPr>
          <w:trHeight w:val="316" w:hRule="atLeast"/>
        </w:trPr>
        <w:tc>
          <w:tcPr>
            <w:tcW w:w="787" w:type="dxa"/>
          </w:tcPr>
          <w:p>
            <w:pPr>
              <w:pStyle w:val="TableParagraph"/>
              <w:spacing w:line="296" w:lineRule="exact"/>
              <w:ind w:left="110"/>
              <w:rPr>
                <w:b/>
                <w:sz w:val="24"/>
              </w:rPr>
            </w:pPr>
            <w:r>
              <w:rPr>
                <w:b/>
                <w:spacing w:val="-5"/>
                <w:sz w:val="24"/>
              </w:rPr>
              <w:t>2.</w:t>
            </w:r>
          </w:p>
        </w:tc>
        <w:tc>
          <w:tcPr>
            <w:tcW w:w="3232" w:type="dxa"/>
          </w:tcPr>
          <w:p>
            <w:pPr>
              <w:pStyle w:val="TableParagraph"/>
              <w:spacing w:line="296" w:lineRule="exact"/>
              <w:ind w:left="110"/>
              <w:rPr>
                <w:sz w:val="24"/>
              </w:rPr>
            </w:pPr>
            <w:r>
              <w:rPr>
                <w:sz w:val="24"/>
              </w:rPr>
              <w:t>Jumlah</w:t>
            </w:r>
            <w:r>
              <w:rPr>
                <w:spacing w:val="-6"/>
                <w:sz w:val="24"/>
              </w:rPr>
              <w:t> </w:t>
            </w:r>
            <w:r>
              <w:rPr>
                <w:spacing w:val="-2"/>
                <w:sz w:val="24"/>
              </w:rPr>
              <w:t>Penduduk</w:t>
            </w:r>
          </w:p>
        </w:tc>
        <w:tc>
          <w:tcPr>
            <w:tcW w:w="2151" w:type="dxa"/>
          </w:tcPr>
          <w:p>
            <w:pPr>
              <w:pStyle w:val="TableParagraph"/>
              <w:spacing w:line="296" w:lineRule="exact"/>
              <w:ind w:left="13"/>
              <w:jc w:val="center"/>
              <w:rPr>
                <w:sz w:val="24"/>
              </w:rPr>
            </w:pPr>
            <w:r>
              <w:rPr>
                <w:spacing w:val="-5"/>
                <w:sz w:val="24"/>
              </w:rPr>
              <w:t>81%</w:t>
            </w:r>
          </w:p>
        </w:tc>
      </w:tr>
      <w:tr>
        <w:trPr>
          <w:trHeight w:val="321" w:hRule="atLeast"/>
        </w:trPr>
        <w:tc>
          <w:tcPr>
            <w:tcW w:w="787" w:type="dxa"/>
            <w:shd w:val="clear" w:color="auto" w:fill="DBE3EF"/>
          </w:tcPr>
          <w:p>
            <w:pPr>
              <w:pStyle w:val="TableParagraph"/>
              <w:spacing w:line="301" w:lineRule="exact"/>
              <w:ind w:left="110"/>
              <w:rPr>
                <w:b/>
                <w:sz w:val="24"/>
              </w:rPr>
            </w:pPr>
            <w:r>
              <w:rPr>
                <w:b/>
                <w:spacing w:val="-5"/>
                <w:sz w:val="24"/>
              </w:rPr>
              <w:t>3.</w:t>
            </w:r>
          </w:p>
        </w:tc>
        <w:tc>
          <w:tcPr>
            <w:tcW w:w="3232" w:type="dxa"/>
            <w:shd w:val="clear" w:color="auto" w:fill="DBE3EF"/>
          </w:tcPr>
          <w:p>
            <w:pPr>
              <w:pStyle w:val="TableParagraph"/>
              <w:spacing w:line="301" w:lineRule="exact"/>
              <w:ind w:left="110"/>
              <w:rPr>
                <w:sz w:val="24"/>
              </w:rPr>
            </w:pPr>
            <w:r>
              <w:rPr>
                <w:sz w:val="24"/>
              </w:rPr>
              <w:t>Jumlah</w:t>
            </w:r>
            <w:r>
              <w:rPr>
                <w:spacing w:val="-8"/>
                <w:sz w:val="24"/>
              </w:rPr>
              <w:t> </w:t>
            </w:r>
            <w:r>
              <w:rPr>
                <w:spacing w:val="-2"/>
                <w:sz w:val="24"/>
              </w:rPr>
              <w:t>Siswa</w:t>
            </w:r>
          </w:p>
        </w:tc>
        <w:tc>
          <w:tcPr>
            <w:tcW w:w="2151" w:type="dxa"/>
            <w:shd w:val="clear" w:color="auto" w:fill="DBE3EF"/>
          </w:tcPr>
          <w:p>
            <w:pPr>
              <w:pStyle w:val="TableParagraph"/>
              <w:spacing w:line="301" w:lineRule="exact"/>
              <w:ind w:left="13"/>
              <w:jc w:val="center"/>
              <w:rPr>
                <w:sz w:val="24"/>
              </w:rPr>
            </w:pPr>
            <w:r>
              <w:rPr>
                <w:spacing w:val="-5"/>
                <w:sz w:val="24"/>
              </w:rPr>
              <w:t>81%</w:t>
            </w:r>
          </w:p>
        </w:tc>
      </w:tr>
      <w:tr>
        <w:trPr>
          <w:trHeight w:val="316" w:hRule="atLeast"/>
        </w:trPr>
        <w:tc>
          <w:tcPr>
            <w:tcW w:w="787" w:type="dxa"/>
          </w:tcPr>
          <w:p>
            <w:pPr>
              <w:pStyle w:val="TableParagraph"/>
              <w:spacing w:line="296" w:lineRule="exact"/>
              <w:ind w:left="110"/>
              <w:rPr>
                <w:b/>
                <w:sz w:val="24"/>
              </w:rPr>
            </w:pPr>
            <w:r>
              <w:rPr>
                <w:b/>
                <w:spacing w:val="-5"/>
                <w:sz w:val="24"/>
              </w:rPr>
              <w:t>4.</w:t>
            </w:r>
          </w:p>
        </w:tc>
        <w:tc>
          <w:tcPr>
            <w:tcW w:w="3232" w:type="dxa"/>
          </w:tcPr>
          <w:p>
            <w:pPr>
              <w:pStyle w:val="TableParagraph"/>
              <w:spacing w:line="296" w:lineRule="exact"/>
              <w:ind w:left="110"/>
              <w:rPr>
                <w:sz w:val="24"/>
              </w:rPr>
            </w:pPr>
            <w:r>
              <w:rPr>
                <w:sz w:val="24"/>
              </w:rPr>
              <w:t>Panjang</w:t>
            </w:r>
            <w:r>
              <w:rPr>
                <w:spacing w:val="-11"/>
                <w:sz w:val="24"/>
              </w:rPr>
              <w:t> </w:t>
            </w:r>
            <w:r>
              <w:rPr>
                <w:spacing w:val="-2"/>
                <w:sz w:val="24"/>
              </w:rPr>
              <w:t>Jalan</w:t>
            </w:r>
          </w:p>
        </w:tc>
        <w:tc>
          <w:tcPr>
            <w:tcW w:w="2151" w:type="dxa"/>
          </w:tcPr>
          <w:p>
            <w:pPr>
              <w:pStyle w:val="TableParagraph"/>
              <w:spacing w:line="296" w:lineRule="exact"/>
              <w:ind w:left="13"/>
              <w:jc w:val="center"/>
              <w:rPr>
                <w:sz w:val="24"/>
              </w:rPr>
            </w:pPr>
            <w:r>
              <w:rPr>
                <w:spacing w:val="-5"/>
                <w:sz w:val="24"/>
              </w:rPr>
              <w:t>82%</w:t>
            </w:r>
          </w:p>
        </w:tc>
      </w:tr>
      <w:tr>
        <w:trPr>
          <w:trHeight w:val="321" w:hRule="atLeast"/>
        </w:trPr>
        <w:tc>
          <w:tcPr>
            <w:tcW w:w="787" w:type="dxa"/>
            <w:shd w:val="clear" w:color="auto" w:fill="DBE3EF"/>
          </w:tcPr>
          <w:p>
            <w:pPr>
              <w:pStyle w:val="TableParagraph"/>
              <w:spacing w:line="302" w:lineRule="exact"/>
              <w:ind w:left="110"/>
              <w:rPr>
                <w:b/>
                <w:sz w:val="24"/>
              </w:rPr>
            </w:pPr>
            <w:r>
              <w:rPr>
                <w:b/>
                <w:spacing w:val="-5"/>
                <w:sz w:val="24"/>
              </w:rPr>
              <w:t>5.</w:t>
            </w:r>
          </w:p>
        </w:tc>
        <w:tc>
          <w:tcPr>
            <w:tcW w:w="3232" w:type="dxa"/>
            <w:shd w:val="clear" w:color="auto" w:fill="DBE3EF"/>
          </w:tcPr>
          <w:p>
            <w:pPr>
              <w:pStyle w:val="TableParagraph"/>
              <w:spacing w:line="302" w:lineRule="exact"/>
              <w:ind w:left="110"/>
              <w:rPr>
                <w:sz w:val="24"/>
              </w:rPr>
            </w:pPr>
            <w:r>
              <w:rPr>
                <w:sz w:val="24"/>
              </w:rPr>
              <w:t>PAD</w:t>
            </w:r>
            <w:r>
              <w:rPr>
                <w:spacing w:val="-1"/>
                <w:sz w:val="24"/>
              </w:rPr>
              <w:t> </w:t>
            </w:r>
            <w:r>
              <w:rPr>
                <w:spacing w:val="-5"/>
                <w:sz w:val="24"/>
              </w:rPr>
              <w:t>(M)</w:t>
            </w:r>
          </w:p>
        </w:tc>
        <w:tc>
          <w:tcPr>
            <w:tcW w:w="2151" w:type="dxa"/>
            <w:shd w:val="clear" w:color="auto" w:fill="DBE3EF"/>
          </w:tcPr>
          <w:p>
            <w:pPr>
              <w:pStyle w:val="TableParagraph"/>
              <w:spacing w:line="302" w:lineRule="exact"/>
              <w:ind w:left="13"/>
              <w:jc w:val="center"/>
              <w:rPr>
                <w:sz w:val="24"/>
              </w:rPr>
            </w:pPr>
            <w:r>
              <w:rPr>
                <w:spacing w:val="-5"/>
                <w:sz w:val="24"/>
              </w:rPr>
              <w:t>86%</w:t>
            </w:r>
          </w:p>
        </w:tc>
      </w:tr>
      <w:tr>
        <w:trPr>
          <w:trHeight w:val="316" w:hRule="atLeast"/>
        </w:trPr>
        <w:tc>
          <w:tcPr>
            <w:tcW w:w="787" w:type="dxa"/>
          </w:tcPr>
          <w:p>
            <w:pPr>
              <w:pStyle w:val="TableParagraph"/>
              <w:spacing w:line="296" w:lineRule="exact"/>
              <w:ind w:left="110"/>
              <w:rPr>
                <w:b/>
                <w:sz w:val="24"/>
              </w:rPr>
            </w:pPr>
            <w:r>
              <w:rPr>
                <w:b/>
                <w:spacing w:val="-5"/>
                <w:sz w:val="24"/>
              </w:rPr>
              <w:t>6.</w:t>
            </w:r>
          </w:p>
        </w:tc>
        <w:tc>
          <w:tcPr>
            <w:tcW w:w="3232" w:type="dxa"/>
          </w:tcPr>
          <w:p>
            <w:pPr>
              <w:pStyle w:val="TableParagraph"/>
              <w:spacing w:line="296" w:lineRule="exact"/>
              <w:ind w:left="110"/>
              <w:rPr>
                <w:sz w:val="24"/>
              </w:rPr>
            </w:pPr>
            <w:r>
              <w:rPr>
                <w:sz w:val="24"/>
              </w:rPr>
              <w:t>DBH</w:t>
            </w:r>
            <w:r>
              <w:rPr>
                <w:spacing w:val="-5"/>
                <w:sz w:val="24"/>
              </w:rPr>
              <w:t> </w:t>
            </w:r>
            <w:r>
              <w:rPr>
                <w:sz w:val="24"/>
              </w:rPr>
              <w:t>Pajak</w:t>
            </w:r>
            <w:r>
              <w:rPr>
                <w:spacing w:val="-5"/>
                <w:sz w:val="24"/>
              </w:rPr>
              <w:t> (M)</w:t>
            </w:r>
          </w:p>
        </w:tc>
        <w:tc>
          <w:tcPr>
            <w:tcW w:w="2151" w:type="dxa"/>
          </w:tcPr>
          <w:p>
            <w:pPr>
              <w:pStyle w:val="TableParagraph"/>
              <w:spacing w:line="296" w:lineRule="exact"/>
              <w:ind w:left="13" w:right="1"/>
              <w:jc w:val="center"/>
              <w:rPr>
                <w:sz w:val="24"/>
              </w:rPr>
            </w:pPr>
            <w:r>
              <w:rPr>
                <w:spacing w:val="-2"/>
                <w:sz w:val="24"/>
              </w:rPr>
              <w:t>555.016</w:t>
            </w:r>
          </w:p>
        </w:tc>
      </w:tr>
    </w:tbl>
    <w:p>
      <w:pPr>
        <w:pStyle w:val="BodyText"/>
        <w:spacing w:before="7"/>
        <w:ind w:left="2467"/>
        <w:jc w:val="left"/>
      </w:pPr>
      <w:r>
        <w:rPr>
          <w:i/>
        </w:rPr>
        <w:t>Sumber</w:t>
      </w:r>
      <w:r>
        <w:rPr/>
        <w:t>:</w:t>
      </w:r>
      <w:r>
        <w:rPr>
          <w:spacing w:val="-7"/>
        </w:rPr>
        <w:t> </w:t>
      </w:r>
      <w:r>
        <w:rPr/>
        <w:t>Ditjen</w:t>
      </w:r>
      <w:r>
        <w:rPr>
          <w:spacing w:val="-9"/>
        </w:rPr>
        <w:t> </w:t>
      </w:r>
      <w:r>
        <w:rPr/>
        <w:t>Dana</w:t>
      </w:r>
      <w:r>
        <w:rPr>
          <w:spacing w:val="-9"/>
        </w:rPr>
        <w:t> </w:t>
      </w:r>
      <w:r>
        <w:rPr/>
        <w:t>Perimbangan</w:t>
      </w:r>
      <w:r>
        <w:rPr>
          <w:spacing w:val="-8"/>
        </w:rPr>
        <w:t> </w:t>
      </w:r>
      <w:r>
        <w:rPr/>
        <w:t>Kemenkeu,</w:t>
      </w:r>
      <w:r>
        <w:rPr>
          <w:spacing w:val="-1"/>
        </w:rPr>
        <w:t> </w:t>
      </w:r>
      <w:r>
        <w:rPr>
          <w:spacing w:val="-2"/>
        </w:rPr>
        <w:t>2023.</w:t>
      </w:r>
    </w:p>
    <w:p>
      <w:pPr>
        <w:pStyle w:val="BodyText"/>
        <w:spacing w:before="317"/>
        <w:jc w:val="left"/>
      </w:pPr>
    </w:p>
    <w:p>
      <w:pPr>
        <w:pStyle w:val="BodyText"/>
        <w:spacing w:line="360" w:lineRule="auto"/>
        <w:ind w:left="1248" w:right="699" w:firstLine="720"/>
      </w:pPr>
      <w:r>
        <w:rPr/>
        <w:t>Sedangkan menurut Kementerian Keuangan RI, dampak dari IKN terhadap Kabupaten Kutai Kartanegara ini adalah adanya penurunan Data Dasar yang menyebabkan berkurangnya target layanan serta berdampak pada berkurangnya kewajiban dalam menyediakan</w:t>
      </w:r>
      <w:r>
        <w:rPr>
          <w:spacing w:val="-11"/>
        </w:rPr>
        <w:t> </w:t>
      </w:r>
      <w:r>
        <w:rPr/>
        <w:t>layanan</w:t>
      </w:r>
      <w:r>
        <w:rPr>
          <w:spacing w:val="-12"/>
        </w:rPr>
        <w:t> </w:t>
      </w:r>
      <w:r>
        <w:rPr/>
        <w:t>publik</w:t>
      </w:r>
      <w:r>
        <w:rPr>
          <w:spacing w:val="-10"/>
        </w:rPr>
        <w:t> </w:t>
      </w:r>
      <w:r>
        <w:rPr/>
        <w:t>(lihat</w:t>
      </w:r>
      <w:r>
        <w:rPr>
          <w:spacing w:val="-10"/>
        </w:rPr>
        <w:t> </w:t>
      </w:r>
      <w:r>
        <w:rPr/>
        <w:t>Tabel</w:t>
      </w:r>
      <w:r>
        <w:rPr>
          <w:spacing w:val="-11"/>
        </w:rPr>
        <w:t> </w:t>
      </w:r>
      <w:r>
        <w:rPr/>
        <w:t>7).</w:t>
      </w:r>
      <w:r>
        <w:rPr>
          <w:spacing w:val="-10"/>
        </w:rPr>
        <w:t> </w:t>
      </w:r>
      <w:r>
        <w:rPr/>
        <w:t>Namun,</w:t>
      </w:r>
      <w:r>
        <w:rPr>
          <w:spacing w:val="-9"/>
        </w:rPr>
        <w:t> </w:t>
      </w:r>
      <w:r>
        <w:rPr/>
        <w:t>di</w:t>
      </w:r>
      <w:r>
        <w:rPr>
          <w:spacing w:val="-11"/>
        </w:rPr>
        <w:t> </w:t>
      </w:r>
      <w:r>
        <w:rPr/>
        <w:t>sisi</w:t>
      </w:r>
      <w:r>
        <w:rPr>
          <w:spacing w:val="-11"/>
        </w:rPr>
        <w:t> </w:t>
      </w:r>
      <w:r>
        <w:rPr/>
        <w:t>lain,</w:t>
      </w:r>
      <w:r>
        <w:rPr>
          <w:spacing w:val="-10"/>
        </w:rPr>
        <w:t> </w:t>
      </w:r>
      <w:r>
        <w:rPr/>
        <w:t>secara logis, dan bukanlah berlebihan, harus dipikirkan juga dampak keluarnya UU Nomor 20 Tahun 2023 tentang ASN. Secara khusus, implikasi kebijakan tersebut memaksa Pemerintah Kabupaten Kutai</w:t>
      </w:r>
    </w:p>
    <w:p>
      <w:pPr>
        <w:pStyle w:val="BodyText"/>
        <w:spacing w:after="0" w:line="360" w:lineRule="auto"/>
        <w:sectPr>
          <w:pgSz w:w="11910" w:h="16840"/>
          <w:pgMar w:header="0" w:footer="1186" w:top="1580" w:bottom="1380" w:left="1700" w:right="992"/>
        </w:sectPr>
      </w:pPr>
    </w:p>
    <w:p>
      <w:pPr>
        <w:pStyle w:val="BodyText"/>
        <w:spacing w:line="360" w:lineRule="auto" w:before="82"/>
        <w:ind w:left="1248" w:right="703"/>
      </w:pPr>
      <w:r>
        <w:rPr/>
        <w:t>Kartanegara harus melakukan perekrutan terhadap 3.000 ASN di lingkungan Pemerintah Kabupaten Kutai Kartanegara yang berasal dari tenaga honorer. Hal ini harus diantisipasi, terhadap (lowongan) pekerjaan yang</w:t>
      </w:r>
      <w:r>
        <w:rPr>
          <w:spacing w:val="-5"/>
        </w:rPr>
        <w:t> </w:t>
      </w:r>
      <w:r>
        <w:rPr/>
        <w:t>sudah</w:t>
      </w:r>
      <w:r>
        <w:rPr>
          <w:spacing w:val="-5"/>
        </w:rPr>
        <w:t> </w:t>
      </w:r>
      <w:r>
        <w:rPr/>
        <w:t>ada</w:t>
      </w:r>
      <w:r>
        <w:rPr>
          <w:spacing w:val="-5"/>
        </w:rPr>
        <w:t> </w:t>
      </w:r>
      <w:r>
        <w:rPr/>
        <w:t>maupun peningkatan</w:t>
      </w:r>
      <w:r>
        <w:rPr>
          <w:spacing w:val="-5"/>
        </w:rPr>
        <w:t> </w:t>
      </w:r>
      <w:r>
        <w:rPr/>
        <w:t>belanja</w:t>
      </w:r>
      <w:r>
        <w:rPr>
          <w:spacing w:val="-5"/>
        </w:rPr>
        <w:t> </w:t>
      </w:r>
      <w:r>
        <w:rPr/>
        <w:t>pegawainya di saat Pemerintah Kabupaten Kutai Kartanegara akan mengalami </w:t>
      </w:r>
      <w:r>
        <w:rPr>
          <w:i/>
        </w:rPr>
        <w:t>potential loss </w:t>
      </w:r>
      <w:r>
        <w:rPr/>
        <w:t>akibat delineasi karena relokasi IKN dari Jakarta ke Provinsi Kalimantan Timur ini.</w:t>
      </w:r>
    </w:p>
    <w:p>
      <w:pPr>
        <w:pStyle w:val="BodyText"/>
        <w:spacing w:line="360" w:lineRule="auto" w:before="4"/>
        <w:ind w:left="1248" w:right="700" w:firstLine="720"/>
      </w:pPr>
      <w:r>
        <w:rPr/>
        <w:t>Sebagaimana informasi dari Bupati Kutai Kartanegara, bahwa hadirnya IKN dari perspektif ekonomi, khususnya belanja daerah, belanja untuk Pemerintah Daerah terkait pemenuhan kebutuhan kegiatan Sekretariat DPRD, dengan sendirinya bisa berkurang, atau tidak sebesar sebelum terjadi delineasi wilayah kabupaten ini ke IKN (Wawancara, 23 Oktober 2023).</w:t>
      </w:r>
    </w:p>
    <w:p>
      <w:pPr>
        <w:pStyle w:val="BodyText"/>
        <w:spacing w:line="360" w:lineRule="auto"/>
        <w:ind w:left="1248" w:right="700" w:firstLine="720"/>
      </w:pPr>
      <w:r>
        <w:rPr/>
        <w:t>Dari sisi Pendapatan Asli Daerah (PAD) akan mengalami penurunan 86% sesudah adanya IKN, dan Rp555.016 (M) dari Dana Bagi</w:t>
      </w:r>
      <w:r>
        <w:rPr>
          <w:spacing w:val="-17"/>
        </w:rPr>
        <w:t> </w:t>
      </w:r>
      <w:r>
        <w:rPr/>
        <w:t>Hasil</w:t>
      </w:r>
      <w:r>
        <w:rPr>
          <w:spacing w:val="-16"/>
        </w:rPr>
        <w:t> </w:t>
      </w:r>
      <w:r>
        <w:rPr/>
        <w:t>Pajak.</w:t>
      </w:r>
      <w:r>
        <w:rPr>
          <w:spacing w:val="-17"/>
        </w:rPr>
        <w:t> </w:t>
      </w:r>
      <w:r>
        <w:rPr/>
        <w:t>Tabel</w:t>
      </w:r>
      <w:r>
        <w:rPr>
          <w:spacing w:val="-16"/>
        </w:rPr>
        <w:t> </w:t>
      </w:r>
      <w:r>
        <w:rPr/>
        <w:t>8</w:t>
      </w:r>
      <w:r>
        <w:rPr>
          <w:spacing w:val="-17"/>
        </w:rPr>
        <w:t> </w:t>
      </w:r>
      <w:r>
        <w:rPr/>
        <w:t>memperlihatkan</w:t>
      </w:r>
      <w:r>
        <w:rPr>
          <w:spacing w:val="-16"/>
        </w:rPr>
        <w:t> </w:t>
      </w:r>
      <w:r>
        <w:rPr/>
        <w:t>penurunan</w:t>
      </w:r>
      <w:r>
        <w:rPr>
          <w:spacing w:val="-17"/>
        </w:rPr>
        <w:t> </w:t>
      </w:r>
      <w:r>
        <w:rPr/>
        <w:t>yang</w:t>
      </w:r>
      <w:r>
        <w:rPr>
          <w:spacing w:val="-16"/>
        </w:rPr>
        <w:t> </w:t>
      </w:r>
      <w:r>
        <w:rPr/>
        <w:t>akanterjadi menurut</w:t>
      </w:r>
      <w:r>
        <w:rPr>
          <w:spacing w:val="-17"/>
        </w:rPr>
        <w:t> </w:t>
      </w:r>
      <w:r>
        <w:rPr/>
        <w:t>Kementerian</w:t>
      </w:r>
      <w:r>
        <w:rPr>
          <w:spacing w:val="-16"/>
        </w:rPr>
        <w:t> </w:t>
      </w:r>
      <w:r>
        <w:rPr/>
        <w:t>Keuangan</w:t>
      </w:r>
      <w:r>
        <w:rPr>
          <w:spacing w:val="-17"/>
        </w:rPr>
        <w:t> </w:t>
      </w:r>
      <w:r>
        <w:rPr/>
        <w:t>untuk</w:t>
      </w:r>
      <w:r>
        <w:rPr>
          <w:spacing w:val="-16"/>
        </w:rPr>
        <w:t> </w:t>
      </w:r>
      <w:r>
        <w:rPr/>
        <w:t>Tahun</w:t>
      </w:r>
      <w:r>
        <w:rPr>
          <w:spacing w:val="-17"/>
        </w:rPr>
        <w:t> </w:t>
      </w:r>
      <w:r>
        <w:rPr/>
        <w:t>Anggaran</w:t>
      </w:r>
      <w:r>
        <w:rPr>
          <w:spacing w:val="-16"/>
        </w:rPr>
        <w:t> </w:t>
      </w:r>
      <w:r>
        <w:rPr/>
        <w:t>2024.Namun demikian, penurunan penerimaan ini menurut Kementerian Keuangan sejalan dengan menurunnya beban pelayanan publik karena berkurangnya penduduk dan luas wilayah.</w:t>
      </w:r>
    </w:p>
    <w:p>
      <w:pPr>
        <w:pStyle w:val="BodyText"/>
        <w:spacing w:before="18"/>
        <w:jc w:val="left"/>
      </w:pPr>
    </w:p>
    <w:p>
      <w:pPr>
        <w:spacing w:line="235" w:lineRule="auto" w:before="0"/>
        <w:ind w:left="1565" w:right="0" w:hanging="639"/>
        <w:jc w:val="left"/>
        <w:rPr>
          <w:rFonts w:ascii="Lucida Sans Unicode"/>
          <w:sz w:val="22"/>
        </w:rPr>
      </w:pPr>
      <w:bookmarkStart w:name="_bookmark47" w:id="48"/>
      <w:bookmarkEnd w:id="48"/>
      <w:r>
        <w:rPr/>
      </w:r>
      <w:r>
        <w:rPr>
          <w:rFonts w:ascii="Tahoma"/>
          <w:b/>
          <w:w w:val="105"/>
          <w:sz w:val="22"/>
        </w:rPr>
        <w:t>Tabel</w:t>
      </w:r>
      <w:r>
        <w:rPr>
          <w:rFonts w:ascii="Tahoma"/>
          <w:b/>
          <w:spacing w:val="-17"/>
          <w:w w:val="105"/>
          <w:sz w:val="22"/>
        </w:rPr>
        <w:t> </w:t>
      </w:r>
      <w:r>
        <w:rPr>
          <w:rFonts w:ascii="Tahoma"/>
          <w:b/>
          <w:w w:val="105"/>
          <w:sz w:val="22"/>
        </w:rPr>
        <w:t>8.</w:t>
      </w:r>
      <w:r>
        <w:rPr>
          <w:rFonts w:ascii="Tahoma"/>
          <w:b/>
          <w:spacing w:val="-17"/>
          <w:w w:val="105"/>
          <w:sz w:val="22"/>
        </w:rPr>
        <w:t> </w:t>
      </w:r>
      <w:r>
        <w:rPr>
          <w:rFonts w:ascii="Lucida Sans Unicode"/>
          <w:w w:val="105"/>
          <w:sz w:val="22"/>
        </w:rPr>
        <w:t>Prediksi</w:t>
      </w:r>
      <w:r>
        <w:rPr>
          <w:rFonts w:ascii="Lucida Sans Unicode"/>
          <w:spacing w:val="-19"/>
          <w:w w:val="105"/>
          <w:sz w:val="22"/>
        </w:rPr>
        <w:t> </w:t>
      </w:r>
      <w:r>
        <w:rPr>
          <w:rFonts w:ascii="Lucida Sans Unicode"/>
          <w:w w:val="105"/>
          <w:sz w:val="22"/>
        </w:rPr>
        <w:t>Penurunan</w:t>
      </w:r>
      <w:r>
        <w:rPr>
          <w:rFonts w:ascii="Lucida Sans Unicode"/>
          <w:spacing w:val="-18"/>
          <w:w w:val="105"/>
          <w:sz w:val="22"/>
        </w:rPr>
        <w:t> </w:t>
      </w:r>
      <w:r>
        <w:rPr>
          <w:rFonts w:ascii="Lucida Sans Unicode"/>
          <w:w w:val="105"/>
          <w:sz w:val="22"/>
        </w:rPr>
        <w:t>Pendapatan</w:t>
      </w:r>
      <w:r>
        <w:rPr>
          <w:rFonts w:ascii="Lucida Sans Unicode"/>
          <w:spacing w:val="-18"/>
          <w:w w:val="105"/>
          <w:sz w:val="22"/>
        </w:rPr>
        <w:t> </w:t>
      </w:r>
      <w:r>
        <w:rPr>
          <w:rFonts w:ascii="Lucida Sans Unicode"/>
          <w:w w:val="105"/>
          <w:sz w:val="22"/>
        </w:rPr>
        <w:t>Daerah</w:t>
      </w:r>
      <w:r>
        <w:rPr>
          <w:rFonts w:ascii="Lucida Sans Unicode"/>
          <w:spacing w:val="-18"/>
          <w:w w:val="105"/>
          <w:sz w:val="22"/>
        </w:rPr>
        <w:t> </w:t>
      </w:r>
      <w:r>
        <w:rPr>
          <w:rFonts w:ascii="Lucida Sans Unicode"/>
          <w:w w:val="105"/>
          <w:sz w:val="22"/>
        </w:rPr>
        <w:t>Kabupaten</w:t>
      </w:r>
      <w:r>
        <w:rPr>
          <w:rFonts w:ascii="Lucida Sans Unicode"/>
          <w:spacing w:val="-19"/>
          <w:w w:val="105"/>
          <w:sz w:val="22"/>
        </w:rPr>
        <w:t> </w:t>
      </w:r>
      <w:r>
        <w:rPr>
          <w:rFonts w:ascii="Lucida Sans Unicode"/>
          <w:w w:val="105"/>
          <w:sz w:val="22"/>
        </w:rPr>
        <w:t>Kutai Kartanegara Akibat Dampak IKN (dalam Miliar rupiah)</w:t>
      </w:r>
    </w:p>
    <w:p>
      <w:pPr>
        <w:pStyle w:val="BodyText"/>
        <w:spacing w:before="5"/>
        <w:jc w:val="left"/>
        <w:rPr>
          <w:rFonts w:ascii="Lucida Sans Unicode"/>
          <w:sz w:val="11"/>
        </w:rPr>
      </w:pPr>
    </w:p>
    <w:tbl>
      <w:tblPr>
        <w:tblW w:w="0" w:type="auto"/>
        <w:jc w:val="left"/>
        <w:tblInd w:w="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6"/>
        <w:gridCol w:w="668"/>
        <w:gridCol w:w="630"/>
        <w:gridCol w:w="788"/>
        <w:gridCol w:w="712"/>
        <w:gridCol w:w="764"/>
        <w:gridCol w:w="769"/>
        <w:gridCol w:w="764"/>
        <w:gridCol w:w="763"/>
        <w:gridCol w:w="768"/>
      </w:tblGrid>
      <w:tr>
        <w:trPr>
          <w:trHeight w:val="979" w:hRule="atLeast"/>
        </w:trPr>
        <w:tc>
          <w:tcPr>
            <w:tcW w:w="596" w:type="dxa"/>
            <w:shd w:val="clear" w:color="auto" w:fill="4F81BB"/>
          </w:tcPr>
          <w:p>
            <w:pPr>
              <w:pStyle w:val="TableParagraph"/>
              <w:rPr>
                <w:rFonts w:ascii="Times New Roman"/>
                <w:sz w:val="22"/>
              </w:rPr>
            </w:pPr>
          </w:p>
        </w:tc>
        <w:tc>
          <w:tcPr>
            <w:tcW w:w="668" w:type="dxa"/>
            <w:shd w:val="clear" w:color="auto" w:fill="4F81BB"/>
          </w:tcPr>
          <w:p>
            <w:pPr>
              <w:pStyle w:val="TableParagraph"/>
              <w:spacing w:line="364" w:lineRule="auto" w:before="12"/>
              <w:ind w:left="114" w:right="120"/>
              <w:rPr>
                <w:b/>
                <w:sz w:val="14"/>
              </w:rPr>
            </w:pPr>
            <w:r>
              <w:rPr>
                <w:b/>
                <w:color w:val="FFFFFF"/>
                <w:spacing w:val="-4"/>
                <w:sz w:val="14"/>
              </w:rPr>
              <w:t>DBH</w:t>
            </w:r>
            <w:r>
              <w:rPr>
                <w:b/>
                <w:color w:val="FFFFFF"/>
                <w:spacing w:val="40"/>
                <w:sz w:val="14"/>
              </w:rPr>
              <w:t> </w:t>
            </w:r>
            <w:r>
              <w:rPr>
                <w:b/>
                <w:color w:val="FFFFFF"/>
                <w:spacing w:val="-4"/>
                <w:sz w:val="14"/>
              </w:rPr>
              <w:t>PAJAK</w:t>
            </w:r>
          </w:p>
        </w:tc>
        <w:tc>
          <w:tcPr>
            <w:tcW w:w="630" w:type="dxa"/>
            <w:shd w:val="clear" w:color="auto" w:fill="4F81BB"/>
          </w:tcPr>
          <w:p>
            <w:pPr>
              <w:pStyle w:val="TableParagraph"/>
              <w:spacing w:line="367" w:lineRule="auto" w:before="10"/>
              <w:ind w:left="114" w:right="176"/>
              <w:rPr>
                <w:b/>
                <w:sz w:val="16"/>
              </w:rPr>
            </w:pPr>
            <w:r>
              <w:rPr>
                <w:b/>
                <w:color w:val="FFFFFF"/>
                <w:spacing w:val="-6"/>
                <w:sz w:val="16"/>
              </w:rPr>
              <w:t>DBH</w:t>
            </w:r>
            <w:r>
              <w:rPr>
                <w:b/>
                <w:color w:val="FFFFFF"/>
                <w:sz w:val="16"/>
              </w:rPr>
              <w:t> </w:t>
            </w:r>
            <w:r>
              <w:rPr>
                <w:b/>
                <w:color w:val="FFFFFF"/>
                <w:spacing w:val="-5"/>
                <w:sz w:val="16"/>
              </w:rPr>
              <w:t>SDA</w:t>
            </w:r>
          </w:p>
        </w:tc>
        <w:tc>
          <w:tcPr>
            <w:tcW w:w="788" w:type="dxa"/>
            <w:shd w:val="clear" w:color="auto" w:fill="4F81BB"/>
          </w:tcPr>
          <w:p>
            <w:pPr>
              <w:pStyle w:val="TableParagraph"/>
              <w:spacing w:line="367" w:lineRule="auto" w:before="10"/>
              <w:ind w:left="113" w:right="167"/>
              <w:rPr>
                <w:b/>
                <w:sz w:val="16"/>
              </w:rPr>
            </w:pPr>
            <w:r>
              <w:rPr>
                <w:b/>
                <w:color w:val="FFFFFF"/>
                <w:spacing w:val="-4"/>
                <w:sz w:val="16"/>
              </w:rPr>
              <w:t>DBH</w:t>
            </w:r>
            <w:r>
              <w:rPr>
                <w:b/>
                <w:color w:val="FFFFFF"/>
                <w:spacing w:val="-2"/>
                <w:sz w:val="16"/>
              </w:rPr>
              <w:t> SAWIT</w:t>
            </w:r>
          </w:p>
        </w:tc>
        <w:tc>
          <w:tcPr>
            <w:tcW w:w="712" w:type="dxa"/>
            <w:shd w:val="clear" w:color="auto" w:fill="4F81BB"/>
          </w:tcPr>
          <w:p>
            <w:pPr>
              <w:pStyle w:val="TableParagraph"/>
              <w:spacing w:line="364" w:lineRule="auto" w:before="12"/>
              <w:ind w:left="112" w:right="161"/>
              <w:rPr>
                <w:b/>
                <w:sz w:val="14"/>
              </w:rPr>
            </w:pPr>
            <w:r>
              <w:rPr>
                <w:b/>
                <w:color w:val="FFFFFF"/>
                <w:spacing w:val="-4"/>
                <w:sz w:val="14"/>
              </w:rPr>
              <w:t>TOTAL</w:t>
            </w:r>
            <w:r>
              <w:rPr>
                <w:b/>
                <w:color w:val="FFFFFF"/>
                <w:spacing w:val="40"/>
                <w:sz w:val="14"/>
              </w:rPr>
              <w:t> </w:t>
            </w:r>
            <w:r>
              <w:rPr>
                <w:b/>
                <w:color w:val="FFFFFF"/>
                <w:spacing w:val="-4"/>
                <w:sz w:val="14"/>
              </w:rPr>
              <w:t>DBH</w:t>
            </w:r>
          </w:p>
        </w:tc>
        <w:tc>
          <w:tcPr>
            <w:tcW w:w="764" w:type="dxa"/>
            <w:shd w:val="clear" w:color="auto" w:fill="4F81BB"/>
          </w:tcPr>
          <w:p>
            <w:pPr>
              <w:pStyle w:val="TableParagraph"/>
              <w:spacing w:line="367" w:lineRule="auto" w:before="10"/>
              <w:ind w:left="111" w:right="143"/>
              <w:rPr>
                <w:b/>
                <w:sz w:val="16"/>
              </w:rPr>
            </w:pPr>
            <w:r>
              <w:rPr>
                <w:b/>
                <w:color w:val="FFFFFF"/>
                <w:spacing w:val="-4"/>
                <w:sz w:val="16"/>
              </w:rPr>
              <w:t>DAU</w:t>
            </w:r>
            <w:r>
              <w:rPr>
                <w:b/>
                <w:color w:val="FFFFFF"/>
                <w:sz w:val="16"/>
              </w:rPr>
              <w:t> </w:t>
            </w:r>
            <w:r>
              <w:rPr>
                <w:b/>
                <w:color w:val="FFFFFF"/>
                <w:spacing w:val="-4"/>
                <w:sz w:val="16"/>
              </w:rPr>
              <w:t>BLOCK</w:t>
            </w:r>
          </w:p>
        </w:tc>
        <w:tc>
          <w:tcPr>
            <w:tcW w:w="769" w:type="dxa"/>
            <w:shd w:val="clear" w:color="auto" w:fill="4F81BB"/>
          </w:tcPr>
          <w:p>
            <w:pPr>
              <w:pStyle w:val="TableParagraph"/>
              <w:spacing w:line="367" w:lineRule="auto" w:before="10"/>
              <w:ind w:left="111" w:right="315"/>
              <w:rPr>
                <w:b/>
                <w:sz w:val="16"/>
              </w:rPr>
            </w:pPr>
            <w:r>
              <w:rPr>
                <w:b/>
                <w:color w:val="FFFFFF"/>
                <w:spacing w:val="-6"/>
                <w:sz w:val="16"/>
              </w:rPr>
              <w:t>DAU</w:t>
            </w:r>
            <w:r>
              <w:rPr>
                <w:b/>
                <w:color w:val="FFFFFF"/>
                <w:sz w:val="16"/>
              </w:rPr>
              <w:t> </w:t>
            </w:r>
            <w:r>
              <w:rPr>
                <w:b/>
                <w:color w:val="FFFFFF"/>
                <w:spacing w:val="-4"/>
                <w:sz w:val="16"/>
              </w:rPr>
              <w:t>SPC</w:t>
            </w:r>
          </w:p>
        </w:tc>
        <w:tc>
          <w:tcPr>
            <w:tcW w:w="764" w:type="dxa"/>
            <w:shd w:val="clear" w:color="auto" w:fill="4F81BB"/>
          </w:tcPr>
          <w:p>
            <w:pPr>
              <w:pStyle w:val="TableParagraph"/>
              <w:spacing w:line="367" w:lineRule="auto" w:before="10"/>
              <w:ind w:left="110" w:right="150"/>
              <w:rPr>
                <w:b/>
                <w:sz w:val="16"/>
              </w:rPr>
            </w:pPr>
            <w:r>
              <w:rPr>
                <w:b/>
                <w:color w:val="FFFFFF"/>
                <w:spacing w:val="-4"/>
                <w:sz w:val="16"/>
              </w:rPr>
              <w:t>DAU</w:t>
            </w:r>
            <w:r>
              <w:rPr>
                <w:b/>
                <w:color w:val="FFFFFF"/>
                <w:sz w:val="16"/>
              </w:rPr>
              <w:t> </w:t>
            </w:r>
            <w:r>
              <w:rPr>
                <w:b/>
                <w:color w:val="FFFFFF"/>
                <w:spacing w:val="-4"/>
                <w:sz w:val="16"/>
              </w:rPr>
              <w:t>TOTAL</w:t>
            </w:r>
          </w:p>
        </w:tc>
        <w:tc>
          <w:tcPr>
            <w:tcW w:w="763" w:type="dxa"/>
            <w:shd w:val="clear" w:color="auto" w:fill="4F81BB"/>
          </w:tcPr>
          <w:p>
            <w:pPr>
              <w:pStyle w:val="TableParagraph"/>
              <w:spacing w:line="367" w:lineRule="auto" w:before="10"/>
              <w:ind w:left="109" w:right="275"/>
              <w:rPr>
                <w:b/>
                <w:sz w:val="16"/>
              </w:rPr>
            </w:pPr>
            <w:r>
              <w:rPr>
                <w:b/>
                <w:color w:val="FFFFFF"/>
                <w:spacing w:val="-4"/>
                <w:sz w:val="16"/>
              </w:rPr>
              <w:t>DAK</w:t>
            </w:r>
            <w:r>
              <w:rPr>
                <w:b/>
                <w:color w:val="FFFFFF"/>
                <w:spacing w:val="-2"/>
                <w:sz w:val="16"/>
              </w:rPr>
              <w:t> FISIK</w:t>
            </w:r>
          </w:p>
        </w:tc>
        <w:tc>
          <w:tcPr>
            <w:tcW w:w="768" w:type="dxa"/>
            <w:shd w:val="clear" w:color="auto" w:fill="4F81BB"/>
          </w:tcPr>
          <w:p>
            <w:pPr>
              <w:pStyle w:val="TableParagraph"/>
              <w:spacing w:line="362" w:lineRule="auto" w:before="10"/>
              <w:ind w:left="110" w:right="278"/>
              <w:rPr>
                <w:b/>
                <w:sz w:val="16"/>
              </w:rPr>
            </w:pPr>
            <w:r>
              <w:rPr>
                <w:b/>
                <w:color w:val="FFFFFF"/>
                <w:spacing w:val="-4"/>
                <w:sz w:val="16"/>
              </w:rPr>
              <w:t>DAK</w:t>
            </w:r>
            <w:r>
              <w:rPr>
                <w:b/>
                <w:color w:val="FFFFFF"/>
                <w:sz w:val="16"/>
              </w:rPr>
              <w:t> </w:t>
            </w:r>
            <w:r>
              <w:rPr>
                <w:b/>
                <w:color w:val="FFFFFF"/>
                <w:spacing w:val="-5"/>
                <w:sz w:val="16"/>
              </w:rPr>
              <w:t>NON</w:t>
            </w:r>
          </w:p>
          <w:p>
            <w:pPr>
              <w:pStyle w:val="TableParagraph"/>
              <w:ind w:left="110"/>
              <w:rPr>
                <w:b/>
                <w:sz w:val="16"/>
              </w:rPr>
            </w:pPr>
            <w:r>
              <w:rPr>
                <w:b/>
                <w:color w:val="FFFFFF"/>
                <w:spacing w:val="-2"/>
                <w:sz w:val="16"/>
              </w:rPr>
              <w:t>FISIK</w:t>
            </w:r>
          </w:p>
        </w:tc>
      </w:tr>
      <w:tr>
        <w:trPr>
          <w:trHeight w:val="556" w:hRule="atLeast"/>
        </w:trPr>
        <w:tc>
          <w:tcPr>
            <w:tcW w:w="596" w:type="dxa"/>
            <w:tcBorders>
              <w:left w:val="single" w:sz="4" w:space="0" w:color="93B3D5"/>
              <w:bottom w:val="single" w:sz="4" w:space="0" w:color="93B3D5"/>
              <w:right w:val="single" w:sz="4" w:space="0" w:color="93B3D5"/>
            </w:tcBorders>
            <w:shd w:val="clear" w:color="auto" w:fill="DBE3EF"/>
          </w:tcPr>
          <w:p>
            <w:pPr>
              <w:pStyle w:val="TableParagraph"/>
              <w:spacing w:before="2"/>
              <w:ind w:left="110"/>
              <w:rPr>
                <w:b/>
                <w:sz w:val="14"/>
              </w:rPr>
            </w:pPr>
            <w:r>
              <w:rPr>
                <w:b/>
                <w:spacing w:val="-5"/>
                <w:sz w:val="14"/>
              </w:rPr>
              <w:t>TA</w:t>
            </w:r>
          </w:p>
          <w:p>
            <w:pPr>
              <w:pStyle w:val="TableParagraph"/>
              <w:spacing w:before="92"/>
              <w:ind w:left="110"/>
              <w:rPr>
                <w:b/>
                <w:sz w:val="14"/>
              </w:rPr>
            </w:pPr>
            <w:r>
              <w:rPr>
                <w:b/>
                <w:spacing w:val="-4"/>
                <w:sz w:val="14"/>
              </w:rPr>
              <w:t>2024</w:t>
            </w:r>
          </w:p>
        </w:tc>
        <w:tc>
          <w:tcPr>
            <w:tcW w:w="668" w:type="dxa"/>
            <w:tcBorders>
              <w:left w:val="single" w:sz="4" w:space="0" w:color="93B3D5"/>
              <w:bottom w:val="single" w:sz="4" w:space="0" w:color="93B3D5"/>
              <w:right w:val="single" w:sz="4" w:space="0" w:color="93B3D5"/>
            </w:tcBorders>
            <w:shd w:val="clear" w:color="auto" w:fill="DBE3EF"/>
          </w:tcPr>
          <w:p>
            <w:pPr>
              <w:pStyle w:val="TableParagraph"/>
              <w:ind w:left="109"/>
              <w:rPr>
                <w:sz w:val="16"/>
              </w:rPr>
            </w:pPr>
            <w:r>
              <w:rPr>
                <w:spacing w:val="-5"/>
                <w:sz w:val="16"/>
              </w:rPr>
              <w:t>612</w:t>
            </w:r>
          </w:p>
        </w:tc>
        <w:tc>
          <w:tcPr>
            <w:tcW w:w="630" w:type="dxa"/>
            <w:tcBorders>
              <w:left w:val="single" w:sz="4" w:space="0" w:color="93B3D5"/>
              <w:bottom w:val="single" w:sz="4" w:space="0" w:color="93B3D5"/>
              <w:right w:val="single" w:sz="4" w:space="0" w:color="93B3D5"/>
            </w:tcBorders>
            <w:shd w:val="clear" w:color="auto" w:fill="DBE3EF"/>
          </w:tcPr>
          <w:p>
            <w:pPr>
              <w:pStyle w:val="TableParagraph"/>
              <w:spacing w:before="2"/>
              <w:ind w:left="109"/>
              <w:rPr>
                <w:sz w:val="14"/>
              </w:rPr>
            </w:pPr>
            <w:r>
              <w:rPr>
                <w:spacing w:val="-2"/>
                <w:sz w:val="14"/>
              </w:rPr>
              <w:t>5.286</w:t>
            </w:r>
          </w:p>
        </w:tc>
        <w:tc>
          <w:tcPr>
            <w:tcW w:w="788" w:type="dxa"/>
            <w:tcBorders>
              <w:left w:val="single" w:sz="4" w:space="0" w:color="93B3D5"/>
              <w:bottom w:val="single" w:sz="4" w:space="0" w:color="93B3D5"/>
              <w:right w:val="single" w:sz="4" w:space="0" w:color="93B3D5"/>
            </w:tcBorders>
            <w:shd w:val="clear" w:color="auto" w:fill="DBE3EF"/>
          </w:tcPr>
          <w:p>
            <w:pPr>
              <w:pStyle w:val="TableParagraph"/>
              <w:ind w:left="108"/>
              <w:rPr>
                <w:sz w:val="16"/>
              </w:rPr>
            </w:pPr>
            <w:r>
              <w:rPr>
                <w:spacing w:val="-4"/>
                <w:sz w:val="16"/>
              </w:rPr>
              <w:t>17.4</w:t>
            </w:r>
          </w:p>
        </w:tc>
        <w:tc>
          <w:tcPr>
            <w:tcW w:w="712" w:type="dxa"/>
            <w:tcBorders>
              <w:left w:val="single" w:sz="4" w:space="0" w:color="93B3D5"/>
              <w:bottom w:val="single" w:sz="4" w:space="0" w:color="93B3D5"/>
              <w:right w:val="single" w:sz="4" w:space="0" w:color="93B3D5"/>
            </w:tcBorders>
            <w:shd w:val="clear" w:color="auto" w:fill="DBE3EF"/>
          </w:tcPr>
          <w:p>
            <w:pPr>
              <w:pStyle w:val="TableParagraph"/>
              <w:ind w:left="107"/>
              <w:rPr>
                <w:sz w:val="16"/>
              </w:rPr>
            </w:pPr>
            <w:r>
              <w:rPr>
                <w:spacing w:val="-2"/>
                <w:sz w:val="16"/>
              </w:rPr>
              <w:t>5.916</w:t>
            </w:r>
          </w:p>
        </w:tc>
        <w:tc>
          <w:tcPr>
            <w:tcW w:w="764" w:type="dxa"/>
            <w:tcBorders>
              <w:left w:val="single" w:sz="4" w:space="0" w:color="93B3D5"/>
              <w:bottom w:val="single" w:sz="4" w:space="0" w:color="93B3D5"/>
              <w:right w:val="single" w:sz="4" w:space="0" w:color="93B3D5"/>
            </w:tcBorders>
            <w:shd w:val="clear" w:color="auto" w:fill="DBE3EF"/>
          </w:tcPr>
          <w:p>
            <w:pPr>
              <w:pStyle w:val="TableParagraph"/>
              <w:ind w:left="106"/>
              <w:rPr>
                <w:sz w:val="16"/>
              </w:rPr>
            </w:pPr>
            <w:r>
              <w:rPr>
                <w:spacing w:val="-2"/>
                <w:sz w:val="16"/>
              </w:rPr>
              <w:t>452.9</w:t>
            </w:r>
          </w:p>
        </w:tc>
        <w:tc>
          <w:tcPr>
            <w:tcW w:w="769" w:type="dxa"/>
            <w:tcBorders>
              <w:left w:val="single" w:sz="4" w:space="0" w:color="93B3D5"/>
              <w:bottom w:val="single" w:sz="4" w:space="0" w:color="93B3D5"/>
              <w:right w:val="single" w:sz="4" w:space="0" w:color="93B3D5"/>
            </w:tcBorders>
            <w:shd w:val="clear" w:color="auto" w:fill="DBE3EF"/>
          </w:tcPr>
          <w:p>
            <w:pPr>
              <w:pStyle w:val="TableParagraph"/>
              <w:ind w:left="106"/>
              <w:rPr>
                <w:sz w:val="16"/>
              </w:rPr>
            </w:pPr>
            <w:r>
              <w:rPr>
                <w:spacing w:val="-2"/>
                <w:sz w:val="16"/>
              </w:rPr>
              <w:t>164.6</w:t>
            </w:r>
          </w:p>
        </w:tc>
        <w:tc>
          <w:tcPr>
            <w:tcW w:w="764" w:type="dxa"/>
            <w:tcBorders>
              <w:left w:val="single" w:sz="4" w:space="0" w:color="93B3D5"/>
              <w:bottom w:val="single" w:sz="4" w:space="0" w:color="93B3D5"/>
              <w:right w:val="single" w:sz="4" w:space="0" w:color="93B3D5"/>
            </w:tcBorders>
            <w:shd w:val="clear" w:color="auto" w:fill="DBE3EF"/>
          </w:tcPr>
          <w:p>
            <w:pPr>
              <w:pStyle w:val="TableParagraph"/>
              <w:ind w:left="105"/>
              <w:rPr>
                <w:sz w:val="16"/>
              </w:rPr>
            </w:pPr>
            <w:r>
              <w:rPr>
                <w:spacing w:val="-2"/>
                <w:sz w:val="16"/>
              </w:rPr>
              <w:t>617.5</w:t>
            </w:r>
          </w:p>
        </w:tc>
        <w:tc>
          <w:tcPr>
            <w:tcW w:w="763" w:type="dxa"/>
            <w:tcBorders>
              <w:left w:val="single" w:sz="4" w:space="0" w:color="93B3D5"/>
              <w:bottom w:val="single" w:sz="4" w:space="0" w:color="93B3D5"/>
              <w:right w:val="single" w:sz="4" w:space="0" w:color="93B3D5"/>
            </w:tcBorders>
            <w:shd w:val="clear" w:color="auto" w:fill="DBE3EF"/>
          </w:tcPr>
          <w:p>
            <w:pPr>
              <w:pStyle w:val="TableParagraph"/>
              <w:ind w:left="104"/>
              <w:rPr>
                <w:sz w:val="16"/>
              </w:rPr>
            </w:pPr>
            <w:r>
              <w:rPr>
                <w:spacing w:val="-2"/>
                <w:sz w:val="16"/>
              </w:rPr>
              <w:t>160,7</w:t>
            </w:r>
          </w:p>
        </w:tc>
        <w:tc>
          <w:tcPr>
            <w:tcW w:w="768" w:type="dxa"/>
            <w:tcBorders>
              <w:left w:val="single" w:sz="4" w:space="0" w:color="93B3D5"/>
              <w:bottom w:val="single" w:sz="4" w:space="0" w:color="93B3D5"/>
              <w:right w:val="single" w:sz="4" w:space="0" w:color="93B3D5"/>
            </w:tcBorders>
            <w:shd w:val="clear" w:color="auto" w:fill="DBE3EF"/>
          </w:tcPr>
          <w:p>
            <w:pPr>
              <w:pStyle w:val="TableParagraph"/>
              <w:ind w:left="105"/>
              <w:rPr>
                <w:sz w:val="16"/>
              </w:rPr>
            </w:pPr>
            <w:r>
              <w:rPr>
                <w:spacing w:val="-2"/>
                <w:sz w:val="16"/>
              </w:rPr>
              <w:t>401.3</w:t>
            </w:r>
          </w:p>
        </w:tc>
      </w:tr>
    </w:tbl>
    <w:p>
      <w:pPr>
        <w:pStyle w:val="BodyText"/>
        <w:spacing w:before="6"/>
        <w:ind w:left="1493"/>
        <w:jc w:val="left"/>
      </w:pPr>
      <w:r>
        <w:rPr>
          <w:i/>
        </w:rPr>
        <w:t>Sumber</w:t>
      </w:r>
      <w:r>
        <w:rPr/>
        <w:t>:</w:t>
      </w:r>
      <w:r>
        <w:rPr>
          <w:spacing w:val="-7"/>
        </w:rPr>
        <w:t> </w:t>
      </w:r>
      <w:r>
        <w:rPr/>
        <w:t>Ditjen</w:t>
      </w:r>
      <w:r>
        <w:rPr>
          <w:spacing w:val="-9"/>
        </w:rPr>
        <w:t> </w:t>
      </w:r>
      <w:r>
        <w:rPr/>
        <w:t>Dana</w:t>
      </w:r>
      <w:r>
        <w:rPr>
          <w:spacing w:val="-9"/>
        </w:rPr>
        <w:t> </w:t>
      </w:r>
      <w:r>
        <w:rPr/>
        <w:t>Perimbangan</w:t>
      </w:r>
      <w:r>
        <w:rPr>
          <w:spacing w:val="-8"/>
        </w:rPr>
        <w:t> </w:t>
      </w:r>
      <w:r>
        <w:rPr/>
        <w:t>Kemenkeu,</w:t>
      </w:r>
      <w:r>
        <w:rPr>
          <w:spacing w:val="-1"/>
        </w:rPr>
        <w:t> </w:t>
      </w:r>
      <w:r>
        <w:rPr>
          <w:spacing w:val="-2"/>
        </w:rPr>
        <w:t>2023.</w:t>
      </w:r>
    </w:p>
    <w:p>
      <w:pPr>
        <w:pStyle w:val="BodyText"/>
        <w:spacing w:after="0"/>
        <w:jc w:val="left"/>
        <w:sectPr>
          <w:pgSz w:w="11910" w:h="16840"/>
          <w:pgMar w:header="0" w:footer="1186" w:top="1580" w:bottom="1380" w:left="1700" w:right="992"/>
        </w:sectPr>
      </w:pPr>
    </w:p>
    <w:p>
      <w:pPr>
        <w:pStyle w:val="BodyText"/>
        <w:spacing w:line="360" w:lineRule="auto" w:before="82"/>
        <w:ind w:left="566" w:right="701" w:firstLine="720"/>
      </w:pPr>
      <w:r>
        <w:rPr/>
        <w:t>Berdasarkan</w:t>
      </w:r>
      <w:r>
        <w:rPr>
          <w:spacing w:val="-7"/>
        </w:rPr>
        <w:t> </w:t>
      </w:r>
      <w:r>
        <w:rPr/>
        <w:t>data</w:t>
      </w:r>
      <w:r>
        <w:rPr>
          <w:spacing w:val="-12"/>
        </w:rPr>
        <w:t> </w:t>
      </w:r>
      <w:r>
        <w:rPr/>
        <w:t>Kementerian</w:t>
      </w:r>
      <w:r>
        <w:rPr>
          <w:spacing w:val="-8"/>
        </w:rPr>
        <w:t> </w:t>
      </w:r>
      <w:r>
        <w:rPr/>
        <w:t>Keuangan</w:t>
      </w:r>
      <w:r>
        <w:rPr>
          <w:spacing w:val="-8"/>
        </w:rPr>
        <w:t> </w:t>
      </w:r>
      <w:r>
        <w:rPr/>
        <w:t>estimasi</w:t>
      </w:r>
      <w:r>
        <w:rPr>
          <w:spacing w:val="-7"/>
        </w:rPr>
        <w:t> </w:t>
      </w:r>
      <w:r>
        <w:rPr/>
        <w:t>dampak</w:t>
      </w:r>
      <w:r>
        <w:rPr>
          <w:spacing w:val="-6"/>
        </w:rPr>
        <w:t> </w:t>
      </w:r>
      <w:r>
        <w:rPr/>
        <w:t>DAK</w:t>
      </w:r>
      <w:r>
        <w:rPr>
          <w:spacing w:val="-7"/>
        </w:rPr>
        <w:t> </w:t>
      </w:r>
      <w:r>
        <w:rPr/>
        <w:t>Fisik yang teralokasikan di wilayan IKN adalah sekitar Rp50,35 miliar (dengan asumsi tidak ada</w:t>
      </w:r>
      <w:r>
        <w:rPr>
          <w:spacing w:val="-1"/>
        </w:rPr>
        <w:t> </w:t>
      </w:r>
      <w:r>
        <w:rPr/>
        <w:t>perubahan pagu nasional DAK Fisik TA 2023 dan TA 2024 sebesar Rp53,42 triliun) sehingga bila wilayah tersebut dialihkan menjadi bagian IKN, maka terdapat penurunan alokasi sebesar 50,353,805,193. Estimasi dilakukan pada 4 kecamatan di Kabupaten Kutai Kartanegara (Loa Janan,</w:t>
      </w:r>
      <w:r>
        <w:rPr>
          <w:spacing w:val="-1"/>
        </w:rPr>
        <w:t> </w:t>
      </w:r>
      <w:r>
        <w:rPr/>
        <w:t>Loa</w:t>
      </w:r>
      <w:r>
        <w:rPr>
          <w:spacing w:val="-3"/>
        </w:rPr>
        <w:t> </w:t>
      </w:r>
      <w:r>
        <w:rPr/>
        <w:t>Kulu,</w:t>
      </w:r>
      <w:r>
        <w:rPr>
          <w:spacing w:val="-1"/>
        </w:rPr>
        <w:t> </w:t>
      </w:r>
      <w:r>
        <w:rPr/>
        <w:t>Muara</w:t>
      </w:r>
      <w:r>
        <w:rPr>
          <w:spacing w:val="-3"/>
        </w:rPr>
        <w:t> </w:t>
      </w:r>
      <w:r>
        <w:rPr/>
        <w:t>Jawa</w:t>
      </w:r>
      <w:r>
        <w:rPr>
          <w:spacing w:val="-3"/>
        </w:rPr>
        <w:t> </w:t>
      </w:r>
      <w:r>
        <w:rPr/>
        <w:t>dan</w:t>
      </w:r>
      <w:r>
        <w:rPr>
          <w:spacing w:val="-3"/>
        </w:rPr>
        <w:t> </w:t>
      </w:r>
      <w:r>
        <w:rPr/>
        <w:t>Semboja).</w:t>
      </w:r>
      <w:r>
        <w:rPr>
          <w:spacing w:val="-1"/>
        </w:rPr>
        <w:t> </w:t>
      </w:r>
      <w:r>
        <w:rPr/>
        <w:t>RK</w:t>
      </w:r>
      <w:r>
        <w:rPr>
          <w:spacing w:val="-1"/>
        </w:rPr>
        <w:t> </w:t>
      </w:r>
      <w:r>
        <w:rPr/>
        <w:t>dan</w:t>
      </w:r>
      <w:r>
        <w:rPr>
          <w:spacing w:val="-3"/>
        </w:rPr>
        <w:t> </w:t>
      </w:r>
      <w:r>
        <w:rPr/>
        <w:t>kontrak</w:t>
      </w:r>
      <w:r>
        <w:rPr>
          <w:spacing w:val="-1"/>
        </w:rPr>
        <w:t> </w:t>
      </w:r>
      <w:r>
        <w:rPr/>
        <w:t>untuk</w:t>
      </w:r>
      <w:r>
        <w:rPr>
          <w:spacing w:val="-1"/>
        </w:rPr>
        <w:t> </w:t>
      </w:r>
      <w:r>
        <w:rPr/>
        <w:t>4 dari</w:t>
      </w:r>
      <w:r>
        <w:rPr>
          <w:spacing w:val="-2"/>
        </w:rPr>
        <w:t> </w:t>
      </w:r>
      <w:r>
        <w:rPr/>
        <w:t>20 kecamatan di Kabupaten Kutai Kartanegara yang berada di wilayah IKN.</w:t>
      </w:r>
    </w:p>
    <w:p>
      <w:pPr>
        <w:spacing w:before="18"/>
        <w:ind w:left="12" w:right="143" w:firstLine="0"/>
        <w:jc w:val="center"/>
        <w:rPr>
          <w:rFonts w:ascii="Lucida Sans Unicode"/>
          <w:sz w:val="22"/>
        </w:rPr>
      </w:pPr>
      <w:bookmarkStart w:name="_bookmark48" w:id="49"/>
      <w:bookmarkEnd w:id="49"/>
      <w:r>
        <w:rPr/>
      </w:r>
      <w:r>
        <w:rPr>
          <w:rFonts w:ascii="Tahoma"/>
          <w:b/>
          <w:sz w:val="22"/>
        </w:rPr>
        <w:t>Tabel</w:t>
      </w:r>
      <w:r>
        <w:rPr>
          <w:rFonts w:ascii="Tahoma"/>
          <w:b/>
          <w:spacing w:val="-4"/>
          <w:sz w:val="22"/>
        </w:rPr>
        <w:t> </w:t>
      </w:r>
      <w:r>
        <w:rPr>
          <w:rFonts w:ascii="Tahoma"/>
          <w:b/>
          <w:sz w:val="22"/>
        </w:rPr>
        <w:t>9.</w:t>
      </w:r>
      <w:r>
        <w:rPr>
          <w:rFonts w:ascii="Tahoma"/>
          <w:b/>
          <w:spacing w:val="-5"/>
          <w:sz w:val="22"/>
        </w:rPr>
        <w:t> </w:t>
      </w:r>
      <w:r>
        <w:rPr>
          <w:rFonts w:ascii="Lucida Sans Unicode"/>
          <w:sz w:val="22"/>
        </w:rPr>
        <w:t>Estimasi</w:t>
      </w:r>
      <w:r>
        <w:rPr>
          <w:rFonts w:ascii="Lucida Sans Unicode"/>
          <w:spacing w:val="9"/>
          <w:sz w:val="22"/>
        </w:rPr>
        <w:t> </w:t>
      </w:r>
      <w:r>
        <w:rPr>
          <w:rFonts w:ascii="Lucida Sans Unicode"/>
          <w:sz w:val="22"/>
        </w:rPr>
        <w:t>Dampak</w:t>
      </w:r>
      <w:r>
        <w:rPr>
          <w:rFonts w:ascii="Lucida Sans Unicode"/>
          <w:spacing w:val="11"/>
          <w:sz w:val="22"/>
        </w:rPr>
        <w:t> </w:t>
      </w:r>
      <w:r>
        <w:rPr>
          <w:rFonts w:ascii="Lucida Sans Unicode"/>
          <w:sz w:val="22"/>
        </w:rPr>
        <w:t>DAK</w:t>
      </w:r>
      <w:r>
        <w:rPr>
          <w:rFonts w:ascii="Lucida Sans Unicode"/>
          <w:spacing w:val="10"/>
          <w:sz w:val="22"/>
        </w:rPr>
        <w:t> </w:t>
      </w:r>
      <w:r>
        <w:rPr>
          <w:rFonts w:ascii="Lucida Sans Unicode"/>
          <w:sz w:val="22"/>
        </w:rPr>
        <w:t>Fisik</w:t>
      </w:r>
      <w:r>
        <w:rPr>
          <w:rFonts w:ascii="Lucida Sans Unicode"/>
          <w:spacing w:val="10"/>
          <w:sz w:val="22"/>
        </w:rPr>
        <w:t> </w:t>
      </w:r>
      <w:r>
        <w:rPr>
          <w:rFonts w:ascii="Lucida Sans Unicode"/>
          <w:sz w:val="22"/>
        </w:rPr>
        <w:t>Karena</w:t>
      </w:r>
      <w:r>
        <w:rPr>
          <w:rFonts w:ascii="Lucida Sans Unicode"/>
          <w:spacing w:val="9"/>
          <w:sz w:val="22"/>
        </w:rPr>
        <w:t> </w:t>
      </w:r>
      <w:r>
        <w:rPr>
          <w:rFonts w:ascii="Lucida Sans Unicode"/>
          <w:sz w:val="22"/>
        </w:rPr>
        <w:t>IKN</w:t>
      </w:r>
      <w:r>
        <w:rPr>
          <w:rFonts w:ascii="Lucida Sans Unicode"/>
          <w:spacing w:val="10"/>
          <w:sz w:val="22"/>
        </w:rPr>
        <w:t> </w:t>
      </w:r>
      <w:r>
        <w:rPr>
          <w:rFonts w:ascii="Lucida Sans Unicode"/>
          <w:sz w:val="22"/>
        </w:rPr>
        <w:t>(dalam</w:t>
      </w:r>
      <w:r>
        <w:rPr>
          <w:rFonts w:ascii="Lucida Sans Unicode"/>
          <w:spacing w:val="11"/>
          <w:sz w:val="22"/>
        </w:rPr>
        <w:t> </w:t>
      </w:r>
      <w:r>
        <w:rPr>
          <w:rFonts w:ascii="Lucida Sans Unicode"/>
          <w:spacing w:val="-2"/>
          <w:sz w:val="22"/>
        </w:rPr>
        <w:t>Rupiah)</w:t>
      </w:r>
    </w:p>
    <w:p>
      <w:pPr>
        <w:pStyle w:val="BodyText"/>
        <w:spacing w:before="8"/>
        <w:jc w:val="left"/>
        <w:rPr>
          <w:rFonts w:ascii="Lucida Sans Unicode"/>
          <w:sz w:val="11"/>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1"/>
        <w:gridCol w:w="2554"/>
        <w:gridCol w:w="2266"/>
      </w:tblGrid>
      <w:tr>
        <w:trPr>
          <w:trHeight w:val="398" w:hRule="atLeast"/>
        </w:trPr>
        <w:tc>
          <w:tcPr>
            <w:tcW w:w="2391" w:type="dxa"/>
          </w:tcPr>
          <w:p>
            <w:pPr>
              <w:pStyle w:val="TableParagraph"/>
              <w:spacing w:before="5"/>
              <w:ind w:left="110"/>
              <w:rPr>
                <w:b/>
                <w:sz w:val="20"/>
              </w:rPr>
            </w:pPr>
            <w:r>
              <w:rPr>
                <w:b/>
                <w:sz w:val="20"/>
              </w:rPr>
              <w:t>Pemda</w:t>
            </w:r>
            <w:r>
              <w:rPr>
                <w:b/>
                <w:spacing w:val="-9"/>
                <w:sz w:val="20"/>
              </w:rPr>
              <w:t> </w:t>
            </w:r>
            <w:r>
              <w:rPr>
                <w:b/>
                <w:sz w:val="20"/>
              </w:rPr>
              <w:t>dan</w:t>
            </w:r>
            <w:r>
              <w:rPr>
                <w:b/>
                <w:spacing w:val="-8"/>
                <w:sz w:val="20"/>
              </w:rPr>
              <w:t> </w:t>
            </w:r>
            <w:r>
              <w:rPr>
                <w:b/>
                <w:spacing w:val="-2"/>
                <w:sz w:val="20"/>
              </w:rPr>
              <w:t>Bidang</w:t>
            </w:r>
          </w:p>
        </w:tc>
        <w:tc>
          <w:tcPr>
            <w:tcW w:w="2554" w:type="dxa"/>
          </w:tcPr>
          <w:p>
            <w:pPr>
              <w:pStyle w:val="TableParagraph"/>
              <w:spacing w:before="5"/>
              <w:ind w:left="110"/>
              <w:rPr>
                <w:b/>
                <w:sz w:val="20"/>
              </w:rPr>
            </w:pPr>
            <w:r>
              <w:rPr>
                <w:b/>
                <w:sz w:val="20"/>
              </w:rPr>
              <w:t>Nilai</w:t>
            </w:r>
            <w:r>
              <w:rPr>
                <w:b/>
                <w:spacing w:val="-7"/>
                <w:sz w:val="20"/>
              </w:rPr>
              <w:t> </w:t>
            </w:r>
            <w:r>
              <w:rPr>
                <w:b/>
                <w:sz w:val="20"/>
              </w:rPr>
              <w:t>RK</w:t>
            </w:r>
            <w:r>
              <w:rPr>
                <w:b/>
                <w:spacing w:val="-5"/>
                <w:sz w:val="20"/>
              </w:rPr>
              <w:t> </w:t>
            </w:r>
            <w:r>
              <w:rPr>
                <w:b/>
                <w:spacing w:val="-4"/>
                <w:sz w:val="20"/>
              </w:rPr>
              <w:t>2023</w:t>
            </w:r>
          </w:p>
        </w:tc>
        <w:tc>
          <w:tcPr>
            <w:tcW w:w="2266" w:type="dxa"/>
          </w:tcPr>
          <w:p>
            <w:pPr>
              <w:pStyle w:val="TableParagraph"/>
              <w:spacing w:before="5"/>
              <w:ind w:left="111"/>
              <w:rPr>
                <w:b/>
                <w:sz w:val="20"/>
              </w:rPr>
            </w:pPr>
            <w:r>
              <w:rPr>
                <w:b/>
                <w:sz w:val="20"/>
              </w:rPr>
              <w:t>Nilai</w:t>
            </w:r>
            <w:r>
              <w:rPr>
                <w:b/>
                <w:spacing w:val="-11"/>
                <w:sz w:val="20"/>
              </w:rPr>
              <w:t> </w:t>
            </w:r>
            <w:r>
              <w:rPr>
                <w:b/>
                <w:sz w:val="20"/>
              </w:rPr>
              <w:t>Kontrak</w:t>
            </w:r>
            <w:r>
              <w:rPr>
                <w:b/>
                <w:spacing w:val="-7"/>
                <w:sz w:val="20"/>
              </w:rPr>
              <w:t> </w:t>
            </w:r>
            <w:r>
              <w:rPr>
                <w:b/>
                <w:spacing w:val="-4"/>
                <w:sz w:val="20"/>
              </w:rPr>
              <w:t>2023</w:t>
            </w:r>
          </w:p>
        </w:tc>
      </w:tr>
      <w:tr>
        <w:trPr>
          <w:trHeight w:val="397" w:hRule="atLeast"/>
        </w:trPr>
        <w:tc>
          <w:tcPr>
            <w:tcW w:w="2391" w:type="dxa"/>
          </w:tcPr>
          <w:p>
            <w:pPr>
              <w:pStyle w:val="TableParagraph"/>
              <w:spacing w:before="4"/>
              <w:ind w:left="110"/>
              <w:rPr>
                <w:b/>
                <w:sz w:val="20"/>
              </w:rPr>
            </w:pPr>
            <w:r>
              <w:rPr>
                <w:b/>
                <w:sz w:val="20"/>
              </w:rPr>
              <w:t>Kab.</w:t>
            </w:r>
            <w:r>
              <w:rPr>
                <w:b/>
                <w:spacing w:val="-9"/>
                <w:sz w:val="20"/>
              </w:rPr>
              <w:t> </w:t>
            </w:r>
            <w:r>
              <w:rPr>
                <w:b/>
                <w:sz w:val="20"/>
              </w:rPr>
              <w:t>Kutai</w:t>
            </w:r>
            <w:r>
              <w:rPr>
                <w:b/>
                <w:spacing w:val="-5"/>
                <w:sz w:val="20"/>
              </w:rPr>
              <w:t> </w:t>
            </w:r>
            <w:r>
              <w:rPr>
                <w:b/>
                <w:spacing w:val="-2"/>
                <w:sz w:val="20"/>
              </w:rPr>
              <w:t>Kartanegara</w:t>
            </w:r>
          </w:p>
        </w:tc>
        <w:tc>
          <w:tcPr>
            <w:tcW w:w="2554" w:type="dxa"/>
          </w:tcPr>
          <w:p>
            <w:pPr>
              <w:pStyle w:val="TableParagraph"/>
              <w:rPr>
                <w:rFonts w:ascii="Times New Roman"/>
                <w:sz w:val="20"/>
              </w:rPr>
            </w:pPr>
          </w:p>
        </w:tc>
        <w:tc>
          <w:tcPr>
            <w:tcW w:w="2266" w:type="dxa"/>
          </w:tcPr>
          <w:p>
            <w:pPr>
              <w:pStyle w:val="TableParagraph"/>
              <w:rPr>
                <w:rFonts w:ascii="Times New Roman"/>
                <w:sz w:val="20"/>
              </w:rPr>
            </w:pPr>
          </w:p>
        </w:tc>
      </w:tr>
      <w:tr>
        <w:trPr>
          <w:trHeight w:val="402" w:hRule="atLeast"/>
        </w:trPr>
        <w:tc>
          <w:tcPr>
            <w:tcW w:w="2391" w:type="dxa"/>
          </w:tcPr>
          <w:p>
            <w:pPr>
              <w:pStyle w:val="TableParagraph"/>
              <w:ind w:left="110"/>
              <w:rPr>
                <w:sz w:val="20"/>
              </w:rPr>
            </w:pPr>
            <w:r>
              <w:rPr>
                <w:spacing w:val="-2"/>
                <w:sz w:val="20"/>
              </w:rPr>
              <w:t>Irigasi</w:t>
            </w:r>
          </w:p>
        </w:tc>
        <w:tc>
          <w:tcPr>
            <w:tcW w:w="2554" w:type="dxa"/>
          </w:tcPr>
          <w:p>
            <w:pPr>
              <w:pStyle w:val="TableParagraph"/>
              <w:ind w:left="110"/>
              <w:rPr>
                <w:sz w:val="20"/>
              </w:rPr>
            </w:pPr>
            <w:r>
              <w:rPr>
                <w:spacing w:val="-2"/>
                <w:sz w:val="20"/>
              </w:rPr>
              <w:t>1,017,367,000</w:t>
            </w:r>
          </w:p>
        </w:tc>
        <w:tc>
          <w:tcPr>
            <w:tcW w:w="2266" w:type="dxa"/>
          </w:tcPr>
          <w:p>
            <w:pPr>
              <w:pStyle w:val="TableParagraph"/>
              <w:ind w:left="111"/>
              <w:rPr>
                <w:sz w:val="20"/>
              </w:rPr>
            </w:pPr>
            <w:r>
              <w:rPr>
                <w:spacing w:val="-2"/>
                <w:sz w:val="20"/>
              </w:rPr>
              <w:t>996,488,800</w:t>
            </w:r>
          </w:p>
        </w:tc>
      </w:tr>
      <w:tr>
        <w:trPr>
          <w:trHeight w:val="398" w:hRule="atLeast"/>
        </w:trPr>
        <w:tc>
          <w:tcPr>
            <w:tcW w:w="2391" w:type="dxa"/>
          </w:tcPr>
          <w:p>
            <w:pPr>
              <w:pStyle w:val="TableParagraph"/>
              <w:ind w:left="110"/>
              <w:rPr>
                <w:sz w:val="20"/>
              </w:rPr>
            </w:pPr>
            <w:r>
              <w:rPr>
                <w:sz w:val="20"/>
              </w:rPr>
              <w:t>Kelautan</w:t>
            </w:r>
            <w:r>
              <w:rPr>
                <w:spacing w:val="-10"/>
                <w:sz w:val="20"/>
              </w:rPr>
              <w:t> </w:t>
            </w:r>
            <w:r>
              <w:rPr>
                <w:sz w:val="20"/>
              </w:rPr>
              <w:t>dan</w:t>
            </w:r>
            <w:r>
              <w:rPr>
                <w:spacing w:val="-13"/>
                <w:sz w:val="20"/>
              </w:rPr>
              <w:t> </w:t>
            </w:r>
            <w:r>
              <w:rPr>
                <w:spacing w:val="-2"/>
                <w:sz w:val="20"/>
              </w:rPr>
              <w:t>Perikanan</w:t>
            </w:r>
          </w:p>
        </w:tc>
        <w:tc>
          <w:tcPr>
            <w:tcW w:w="2554" w:type="dxa"/>
          </w:tcPr>
          <w:p>
            <w:pPr>
              <w:pStyle w:val="TableParagraph"/>
              <w:ind w:left="110"/>
              <w:rPr>
                <w:sz w:val="20"/>
              </w:rPr>
            </w:pPr>
            <w:r>
              <w:rPr>
                <w:spacing w:val="-2"/>
                <w:sz w:val="20"/>
              </w:rPr>
              <w:t>2,789,554,000</w:t>
            </w:r>
          </w:p>
        </w:tc>
        <w:tc>
          <w:tcPr>
            <w:tcW w:w="2266" w:type="dxa"/>
          </w:tcPr>
          <w:p>
            <w:pPr>
              <w:pStyle w:val="TableParagraph"/>
              <w:ind w:left="111"/>
              <w:rPr>
                <w:sz w:val="20"/>
              </w:rPr>
            </w:pPr>
            <w:r>
              <w:rPr>
                <w:spacing w:val="-2"/>
                <w:sz w:val="20"/>
              </w:rPr>
              <w:t>2,544,651,420</w:t>
            </w:r>
          </w:p>
        </w:tc>
      </w:tr>
      <w:tr>
        <w:trPr>
          <w:trHeight w:val="398" w:hRule="atLeast"/>
        </w:trPr>
        <w:tc>
          <w:tcPr>
            <w:tcW w:w="2391" w:type="dxa"/>
          </w:tcPr>
          <w:p>
            <w:pPr>
              <w:pStyle w:val="TableParagraph"/>
              <w:ind w:left="110"/>
              <w:rPr>
                <w:sz w:val="20"/>
              </w:rPr>
            </w:pPr>
            <w:r>
              <w:rPr>
                <w:sz w:val="20"/>
              </w:rPr>
              <w:t>Kesehatan</w:t>
            </w:r>
            <w:r>
              <w:rPr>
                <w:spacing w:val="-10"/>
                <w:sz w:val="20"/>
              </w:rPr>
              <w:t> </w:t>
            </w:r>
            <w:r>
              <w:rPr>
                <w:sz w:val="20"/>
              </w:rPr>
              <w:t>dan</w:t>
            </w:r>
            <w:r>
              <w:rPr>
                <w:spacing w:val="-5"/>
                <w:sz w:val="20"/>
              </w:rPr>
              <w:t> KB</w:t>
            </w:r>
          </w:p>
        </w:tc>
        <w:tc>
          <w:tcPr>
            <w:tcW w:w="2554" w:type="dxa"/>
          </w:tcPr>
          <w:p>
            <w:pPr>
              <w:pStyle w:val="TableParagraph"/>
              <w:ind w:left="110"/>
              <w:rPr>
                <w:sz w:val="20"/>
              </w:rPr>
            </w:pPr>
            <w:r>
              <w:rPr>
                <w:spacing w:val="-2"/>
                <w:sz w:val="20"/>
              </w:rPr>
              <w:t>24,484,787,066</w:t>
            </w:r>
          </w:p>
        </w:tc>
        <w:tc>
          <w:tcPr>
            <w:tcW w:w="2266" w:type="dxa"/>
          </w:tcPr>
          <w:p>
            <w:pPr>
              <w:pStyle w:val="TableParagraph"/>
              <w:ind w:left="111"/>
              <w:rPr>
                <w:sz w:val="20"/>
              </w:rPr>
            </w:pPr>
            <w:r>
              <w:rPr>
                <w:spacing w:val="-2"/>
                <w:sz w:val="20"/>
              </w:rPr>
              <w:t>24,087,957,875</w:t>
            </w:r>
          </w:p>
        </w:tc>
      </w:tr>
      <w:tr>
        <w:trPr>
          <w:trHeight w:val="398" w:hRule="atLeast"/>
        </w:trPr>
        <w:tc>
          <w:tcPr>
            <w:tcW w:w="2391" w:type="dxa"/>
          </w:tcPr>
          <w:p>
            <w:pPr>
              <w:pStyle w:val="TableParagraph"/>
              <w:ind w:left="110"/>
              <w:rPr>
                <w:sz w:val="20"/>
              </w:rPr>
            </w:pPr>
            <w:r>
              <w:rPr>
                <w:spacing w:val="-2"/>
                <w:sz w:val="20"/>
              </w:rPr>
              <w:t>Pendidikan</w:t>
            </w:r>
          </w:p>
        </w:tc>
        <w:tc>
          <w:tcPr>
            <w:tcW w:w="2554" w:type="dxa"/>
          </w:tcPr>
          <w:p>
            <w:pPr>
              <w:pStyle w:val="TableParagraph"/>
              <w:ind w:left="110"/>
              <w:rPr>
                <w:sz w:val="20"/>
              </w:rPr>
            </w:pPr>
            <w:r>
              <w:rPr>
                <w:spacing w:val="-2"/>
                <w:sz w:val="20"/>
              </w:rPr>
              <w:t>19,567,097,127</w:t>
            </w:r>
          </w:p>
        </w:tc>
        <w:tc>
          <w:tcPr>
            <w:tcW w:w="2266" w:type="dxa"/>
          </w:tcPr>
          <w:p>
            <w:pPr>
              <w:pStyle w:val="TableParagraph"/>
              <w:ind w:left="111"/>
              <w:rPr>
                <w:sz w:val="20"/>
              </w:rPr>
            </w:pPr>
            <w:r>
              <w:rPr>
                <w:spacing w:val="-2"/>
                <w:sz w:val="20"/>
              </w:rPr>
              <w:t>19,239,205,933</w:t>
            </w:r>
          </w:p>
        </w:tc>
      </w:tr>
      <w:tr>
        <w:trPr>
          <w:trHeight w:val="397" w:hRule="atLeast"/>
        </w:trPr>
        <w:tc>
          <w:tcPr>
            <w:tcW w:w="2391" w:type="dxa"/>
          </w:tcPr>
          <w:p>
            <w:pPr>
              <w:pStyle w:val="TableParagraph"/>
              <w:spacing w:before="4"/>
              <w:ind w:left="110"/>
              <w:rPr>
                <w:sz w:val="20"/>
              </w:rPr>
            </w:pPr>
            <w:r>
              <w:rPr>
                <w:spacing w:val="-2"/>
                <w:sz w:val="20"/>
              </w:rPr>
              <w:t>Pertanian</w:t>
            </w:r>
          </w:p>
        </w:tc>
        <w:tc>
          <w:tcPr>
            <w:tcW w:w="2554" w:type="dxa"/>
          </w:tcPr>
          <w:p>
            <w:pPr>
              <w:pStyle w:val="TableParagraph"/>
              <w:spacing w:before="4"/>
              <w:ind w:left="110"/>
              <w:rPr>
                <w:sz w:val="20"/>
              </w:rPr>
            </w:pPr>
            <w:r>
              <w:rPr>
                <w:spacing w:val="-2"/>
                <w:sz w:val="20"/>
              </w:rPr>
              <w:t>2,495,000,000</w:t>
            </w:r>
          </w:p>
        </w:tc>
        <w:tc>
          <w:tcPr>
            <w:tcW w:w="2266" w:type="dxa"/>
          </w:tcPr>
          <w:p>
            <w:pPr>
              <w:pStyle w:val="TableParagraph"/>
              <w:spacing w:before="4"/>
              <w:ind w:left="111"/>
              <w:rPr>
                <w:sz w:val="20"/>
              </w:rPr>
            </w:pPr>
            <w:r>
              <w:rPr>
                <w:spacing w:val="-2"/>
                <w:sz w:val="20"/>
              </w:rPr>
              <w:t>1,867,500,247</w:t>
            </w:r>
          </w:p>
        </w:tc>
      </w:tr>
      <w:tr>
        <w:trPr>
          <w:trHeight w:val="801" w:hRule="atLeast"/>
        </w:trPr>
        <w:tc>
          <w:tcPr>
            <w:tcW w:w="2391" w:type="dxa"/>
          </w:tcPr>
          <w:p>
            <w:pPr>
              <w:pStyle w:val="TableParagraph"/>
              <w:spacing w:before="4"/>
              <w:ind w:left="110"/>
              <w:rPr>
                <w:sz w:val="20"/>
              </w:rPr>
            </w:pPr>
            <w:r>
              <w:rPr>
                <w:spacing w:val="-2"/>
                <w:sz w:val="20"/>
              </w:rPr>
              <w:t>Total</w:t>
            </w:r>
          </w:p>
        </w:tc>
        <w:tc>
          <w:tcPr>
            <w:tcW w:w="2554" w:type="dxa"/>
          </w:tcPr>
          <w:p>
            <w:pPr>
              <w:pStyle w:val="TableParagraph"/>
              <w:spacing w:before="4"/>
              <w:ind w:left="110"/>
              <w:rPr>
                <w:sz w:val="20"/>
              </w:rPr>
            </w:pPr>
            <w:r>
              <w:rPr>
                <w:spacing w:val="-2"/>
                <w:sz w:val="20"/>
              </w:rPr>
              <w:t>50,353,805,193,00</w:t>
            </w:r>
          </w:p>
        </w:tc>
        <w:tc>
          <w:tcPr>
            <w:tcW w:w="2266" w:type="dxa"/>
          </w:tcPr>
          <w:p>
            <w:pPr>
              <w:pStyle w:val="TableParagraph"/>
              <w:spacing w:before="4"/>
              <w:ind w:left="111"/>
              <w:rPr>
                <w:sz w:val="20"/>
              </w:rPr>
            </w:pPr>
            <w:r>
              <w:rPr>
                <w:spacing w:val="-2"/>
                <w:sz w:val="20"/>
              </w:rPr>
              <w:t>48,735,804,275,00</w:t>
            </w:r>
          </w:p>
        </w:tc>
      </w:tr>
    </w:tbl>
    <w:p>
      <w:pPr>
        <w:pStyle w:val="BodyText"/>
        <w:spacing w:before="171" w:after="1"/>
        <w:jc w:val="left"/>
        <w:rPr>
          <w:rFonts w:ascii="Lucida Sans Unicode"/>
          <w:sz w:val="20"/>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0"/>
        <w:gridCol w:w="1642"/>
        <w:gridCol w:w="1739"/>
        <w:gridCol w:w="1772"/>
      </w:tblGrid>
      <w:tr>
        <w:trPr>
          <w:trHeight w:val="796" w:hRule="atLeast"/>
        </w:trPr>
        <w:tc>
          <w:tcPr>
            <w:tcW w:w="2060" w:type="dxa"/>
          </w:tcPr>
          <w:p>
            <w:pPr>
              <w:pStyle w:val="TableParagraph"/>
              <w:ind w:left="110"/>
              <w:rPr>
                <w:b/>
                <w:sz w:val="20"/>
              </w:rPr>
            </w:pPr>
            <w:r>
              <w:rPr>
                <w:b/>
                <w:sz w:val="20"/>
              </w:rPr>
              <w:t>Pemda</w:t>
            </w:r>
            <w:r>
              <w:rPr>
                <w:b/>
                <w:spacing w:val="29"/>
                <w:sz w:val="20"/>
              </w:rPr>
              <w:t> </w:t>
            </w:r>
            <w:r>
              <w:rPr>
                <w:b/>
                <w:sz w:val="20"/>
              </w:rPr>
              <w:t>dan</w:t>
            </w:r>
            <w:r>
              <w:rPr>
                <w:b/>
                <w:spacing w:val="26"/>
                <w:sz w:val="20"/>
              </w:rPr>
              <w:t> </w:t>
            </w:r>
            <w:r>
              <w:rPr>
                <w:b/>
                <w:spacing w:val="-2"/>
                <w:sz w:val="20"/>
              </w:rPr>
              <w:t>Bidang</w:t>
            </w:r>
          </w:p>
          <w:p>
            <w:pPr>
              <w:pStyle w:val="TableParagraph"/>
              <w:spacing w:before="137"/>
              <w:ind w:left="110"/>
              <w:rPr>
                <w:b/>
                <w:sz w:val="20"/>
              </w:rPr>
            </w:pPr>
            <w:r>
              <w:rPr>
                <w:b/>
                <w:sz w:val="20"/>
              </w:rPr>
              <w:t>DAK</w:t>
            </w:r>
            <w:r>
              <w:rPr>
                <w:b/>
                <w:spacing w:val="-5"/>
                <w:sz w:val="20"/>
              </w:rPr>
              <w:t> </w:t>
            </w:r>
            <w:r>
              <w:rPr>
                <w:b/>
                <w:spacing w:val="-2"/>
                <w:sz w:val="20"/>
              </w:rPr>
              <w:t>Fisik</w:t>
            </w:r>
          </w:p>
        </w:tc>
        <w:tc>
          <w:tcPr>
            <w:tcW w:w="1642" w:type="dxa"/>
          </w:tcPr>
          <w:p>
            <w:pPr>
              <w:pStyle w:val="TableParagraph"/>
              <w:ind w:left="110"/>
              <w:rPr>
                <w:b/>
                <w:sz w:val="20"/>
              </w:rPr>
            </w:pPr>
            <w:r>
              <w:rPr>
                <w:b/>
                <w:sz w:val="20"/>
              </w:rPr>
              <w:t>RK</w:t>
            </w:r>
            <w:r>
              <w:rPr>
                <w:b/>
                <w:spacing w:val="-7"/>
                <w:sz w:val="20"/>
              </w:rPr>
              <w:t> </w:t>
            </w:r>
            <w:r>
              <w:rPr>
                <w:b/>
                <w:spacing w:val="-4"/>
                <w:sz w:val="20"/>
              </w:rPr>
              <w:t>2023</w:t>
            </w:r>
          </w:p>
        </w:tc>
        <w:tc>
          <w:tcPr>
            <w:tcW w:w="1739" w:type="dxa"/>
          </w:tcPr>
          <w:p>
            <w:pPr>
              <w:pStyle w:val="TableParagraph"/>
              <w:ind w:left="110"/>
              <w:rPr>
                <w:b/>
                <w:sz w:val="20"/>
              </w:rPr>
            </w:pPr>
            <w:r>
              <w:rPr>
                <w:b/>
                <w:sz w:val="20"/>
              </w:rPr>
              <w:t>RK</w:t>
            </w:r>
            <w:r>
              <w:rPr>
                <w:b/>
                <w:spacing w:val="-11"/>
                <w:sz w:val="20"/>
              </w:rPr>
              <w:t> </w:t>
            </w:r>
            <w:r>
              <w:rPr>
                <w:b/>
                <w:sz w:val="20"/>
              </w:rPr>
              <w:t>di</w:t>
            </w:r>
            <w:r>
              <w:rPr>
                <w:b/>
                <w:spacing w:val="-14"/>
                <w:sz w:val="20"/>
              </w:rPr>
              <w:t> </w:t>
            </w:r>
            <w:r>
              <w:rPr>
                <w:b/>
                <w:sz w:val="20"/>
              </w:rPr>
              <w:t>Lokasi</w:t>
            </w:r>
            <w:r>
              <w:rPr>
                <w:b/>
                <w:spacing w:val="-13"/>
                <w:sz w:val="20"/>
              </w:rPr>
              <w:t> </w:t>
            </w:r>
            <w:r>
              <w:rPr>
                <w:b/>
                <w:spacing w:val="-5"/>
                <w:sz w:val="20"/>
              </w:rPr>
              <w:t>IKN</w:t>
            </w:r>
          </w:p>
        </w:tc>
        <w:tc>
          <w:tcPr>
            <w:tcW w:w="1772" w:type="dxa"/>
          </w:tcPr>
          <w:p>
            <w:pPr>
              <w:pStyle w:val="TableParagraph"/>
              <w:tabs>
                <w:tab w:pos="719" w:val="left" w:leader="none"/>
                <w:tab w:pos="1252" w:val="left" w:leader="none"/>
              </w:tabs>
              <w:ind w:left="110"/>
              <w:rPr>
                <w:b/>
                <w:sz w:val="20"/>
              </w:rPr>
            </w:pPr>
            <w:r>
              <w:rPr>
                <w:b/>
                <w:spacing w:val="-5"/>
                <w:sz w:val="20"/>
              </w:rPr>
              <w:t>RK</w:t>
            </w:r>
            <w:r>
              <w:rPr>
                <w:b/>
                <w:sz w:val="20"/>
              </w:rPr>
              <w:tab/>
            </w:r>
            <w:r>
              <w:rPr>
                <w:b/>
                <w:spacing w:val="-5"/>
                <w:sz w:val="20"/>
              </w:rPr>
              <w:t>di</w:t>
            </w:r>
            <w:r>
              <w:rPr>
                <w:b/>
                <w:sz w:val="20"/>
              </w:rPr>
              <w:tab/>
            </w:r>
            <w:r>
              <w:rPr>
                <w:b/>
                <w:spacing w:val="-4"/>
                <w:sz w:val="20"/>
              </w:rPr>
              <w:t>Luar</w:t>
            </w:r>
          </w:p>
          <w:p>
            <w:pPr>
              <w:pStyle w:val="TableParagraph"/>
              <w:spacing w:before="137"/>
              <w:ind w:left="110"/>
              <w:rPr>
                <w:b/>
                <w:sz w:val="20"/>
              </w:rPr>
            </w:pPr>
            <w:r>
              <w:rPr>
                <w:b/>
                <w:sz w:val="20"/>
              </w:rPr>
              <w:t>Lokasi</w:t>
            </w:r>
            <w:r>
              <w:rPr>
                <w:b/>
                <w:spacing w:val="-4"/>
                <w:sz w:val="20"/>
              </w:rPr>
              <w:t> </w:t>
            </w:r>
            <w:r>
              <w:rPr>
                <w:b/>
                <w:spacing w:val="-5"/>
                <w:sz w:val="20"/>
              </w:rPr>
              <w:t>IKN</w:t>
            </w:r>
          </w:p>
        </w:tc>
      </w:tr>
      <w:tr>
        <w:trPr>
          <w:trHeight w:val="801" w:hRule="atLeast"/>
        </w:trPr>
        <w:tc>
          <w:tcPr>
            <w:tcW w:w="2060" w:type="dxa"/>
          </w:tcPr>
          <w:p>
            <w:pPr>
              <w:pStyle w:val="TableParagraph"/>
              <w:tabs>
                <w:tab w:pos="1464" w:val="left" w:leader="none"/>
              </w:tabs>
              <w:spacing w:before="4"/>
              <w:ind w:left="110"/>
              <w:rPr>
                <w:b/>
                <w:sz w:val="20"/>
              </w:rPr>
            </w:pPr>
            <w:r>
              <w:rPr>
                <w:b/>
                <w:spacing w:val="-4"/>
                <w:sz w:val="20"/>
              </w:rPr>
              <w:t>Kab.</w:t>
            </w:r>
            <w:r>
              <w:rPr>
                <w:b/>
                <w:sz w:val="20"/>
              </w:rPr>
              <w:tab/>
            </w:r>
            <w:r>
              <w:rPr>
                <w:b/>
                <w:spacing w:val="-4"/>
                <w:sz w:val="20"/>
              </w:rPr>
              <w:t>Kutai</w:t>
            </w:r>
          </w:p>
          <w:p>
            <w:pPr>
              <w:pStyle w:val="TableParagraph"/>
              <w:spacing w:before="133"/>
              <w:ind w:left="110"/>
              <w:rPr>
                <w:b/>
                <w:sz w:val="20"/>
              </w:rPr>
            </w:pPr>
            <w:r>
              <w:rPr>
                <w:b/>
                <w:spacing w:val="-2"/>
                <w:sz w:val="20"/>
              </w:rPr>
              <w:t>Kartanegara</w:t>
            </w:r>
          </w:p>
        </w:tc>
        <w:tc>
          <w:tcPr>
            <w:tcW w:w="1642" w:type="dxa"/>
          </w:tcPr>
          <w:p>
            <w:pPr>
              <w:pStyle w:val="TableParagraph"/>
              <w:rPr>
                <w:rFonts w:ascii="Times New Roman"/>
                <w:sz w:val="20"/>
              </w:rPr>
            </w:pPr>
          </w:p>
        </w:tc>
        <w:tc>
          <w:tcPr>
            <w:tcW w:w="1739" w:type="dxa"/>
          </w:tcPr>
          <w:p>
            <w:pPr>
              <w:pStyle w:val="TableParagraph"/>
              <w:rPr>
                <w:rFonts w:ascii="Times New Roman"/>
                <w:sz w:val="20"/>
              </w:rPr>
            </w:pPr>
          </w:p>
        </w:tc>
        <w:tc>
          <w:tcPr>
            <w:tcW w:w="1772" w:type="dxa"/>
          </w:tcPr>
          <w:p>
            <w:pPr>
              <w:pStyle w:val="TableParagraph"/>
              <w:rPr>
                <w:rFonts w:ascii="Times New Roman"/>
                <w:sz w:val="20"/>
              </w:rPr>
            </w:pPr>
          </w:p>
        </w:tc>
      </w:tr>
      <w:tr>
        <w:trPr>
          <w:trHeight w:val="397" w:hRule="atLeast"/>
        </w:trPr>
        <w:tc>
          <w:tcPr>
            <w:tcW w:w="2060" w:type="dxa"/>
          </w:tcPr>
          <w:p>
            <w:pPr>
              <w:pStyle w:val="TableParagraph"/>
              <w:ind w:left="110"/>
              <w:rPr>
                <w:sz w:val="20"/>
              </w:rPr>
            </w:pPr>
            <w:r>
              <w:rPr>
                <w:spacing w:val="-2"/>
                <w:sz w:val="20"/>
              </w:rPr>
              <w:t>Irigasi</w:t>
            </w:r>
          </w:p>
        </w:tc>
        <w:tc>
          <w:tcPr>
            <w:tcW w:w="1642" w:type="dxa"/>
          </w:tcPr>
          <w:p>
            <w:pPr>
              <w:pStyle w:val="TableParagraph"/>
              <w:ind w:left="110"/>
              <w:rPr>
                <w:sz w:val="20"/>
              </w:rPr>
            </w:pPr>
            <w:r>
              <w:rPr>
                <w:spacing w:val="-2"/>
                <w:sz w:val="20"/>
              </w:rPr>
              <w:t>2,840,655,000</w:t>
            </w:r>
          </w:p>
        </w:tc>
        <w:tc>
          <w:tcPr>
            <w:tcW w:w="1739" w:type="dxa"/>
          </w:tcPr>
          <w:p>
            <w:pPr>
              <w:pStyle w:val="TableParagraph"/>
              <w:ind w:left="110"/>
              <w:rPr>
                <w:sz w:val="20"/>
              </w:rPr>
            </w:pPr>
            <w:r>
              <w:rPr>
                <w:spacing w:val="-2"/>
                <w:sz w:val="20"/>
              </w:rPr>
              <w:t>1,017,367,000</w:t>
            </w:r>
          </w:p>
        </w:tc>
        <w:tc>
          <w:tcPr>
            <w:tcW w:w="1772" w:type="dxa"/>
          </w:tcPr>
          <w:p>
            <w:pPr>
              <w:pStyle w:val="TableParagraph"/>
              <w:ind w:left="110"/>
              <w:rPr>
                <w:sz w:val="20"/>
              </w:rPr>
            </w:pPr>
            <w:r>
              <w:rPr>
                <w:spacing w:val="-2"/>
                <w:sz w:val="20"/>
              </w:rPr>
              <w:t>1,823,288,000</w:t>
            </w:r>
          </w:p>
        </w:tc>
      </w:tr>
      <w:tr>
        <w:trPr>
          <w:trHeight w:val="796" w:hRule="atLeast"/>
        </w:trPr>
        <w:tc>
          <w:tcPr>
            <w:tcW w:w="2060" w:type="dxa"/>
          </w:tcPr>
          <w:p>
            <w:pPr>
              <w:pStyle w:val="TableParagraph"/>
              <w:tabs>
                <w:tab w:pos="1627" w:val="left" w:leader="none"/>
              </w:tabs>
              <w:ind w:left="110"/>
              <w:rPr>
                <w:sz w:val="20"/>
              </w:rPr>
            </w:pPr>
            <w:r>
              <w:rPr>
                <w:spacing w:val="-2"/>
                <w:sz w:val="20"/>
              </w:rPr>
              <w:t>Kelautan</w:t>
            </w:r>
            <w:r>
              <w:rPr>
                <w:sz w:val="20"/>
              </w:rPr>
              <w:tab/>
            </w:r>
            <w:r>
              <w:rPr>
                <w:spacing w:val="-5"/>
                <w:sz w:val="20"/>
              </w:rPr>
              <w:t>dan</w:t>
            </w:r>
          </w:p>
          <w:p>
            <w:pPr>
              <w:pStyle w:val="TableParagraph"/>
              <w:spacing w:before="132"/>
              <w:ind w:left="110"/>
              <w:rPr>
                <w:sz w:val="20"/>
              </w:rPr>
            </w:pPr>
            <w:r>
              <w:rPr>
                <w:spacing w:val="-2"/>
                <w:sz w:val="20"/>
              </w:rPr>
              <w:t>Perikanan</w:t>
            </w:r>
          </w:p>
        </w:tc>
        <w:tc>
          <w:tcPr>
            <w:tcW w:w="1642" w:type="dxa"/>
          </w:tcPr>
          <w:p>
            <w:pPr>
              <w:pStyle w:val="TableParagraph"/>
              <w:ind w:left="110"/>
              <w:rPr>
                <w:sz w:val="20"/>
              </w:rPr>
            </w:pPr>
            <w:r>
              <w:rPr>
                <w:spacing w:val="-2"/>
                <w:sz w:val="20"/>
              </w:rPr>
              <w:t>8,704,754,000</w:t>
            </w:r>
          </w:p>
        </w:tc>
        <w:tc>
          <w:tcPr>
            <w:tcW w:w="1739" w:type="dxa"/>
          </w:tcPr>
          <w:p>
            <w:pPr>
              <w:pStyle w:val="TableParagraph"/>
              <w:ind w:left="110"/>
              <w:rPr>
                <w:sz w:val="20"/>
              </w:rPr>
            </w:pPr>
            <w:r>
              <w:rPr>
                <w:spacing w:val="-2"/>
                <w:sz w:val="20"/>
              </w:rPr>
              <w:t>2,789,554,000</w:t>
            </w:r>
          </w:p>
        </w:tc>
        <w:tc>
          <w:tcPr>
            <w:tcW w:w="1772" w:type="dxa"/>
          </w:tcPr>
          <w:p>
            <w:pPr>
              <w:pStyle w:val="TableParagraph"/>
              <w:ind w:left="110"/>
              <w:rPr>
                <w:sz w:val="20"/>
              </w:rPr>
            </w:pPr>
            <w:r>
              <w:rPr>
                <w:spacing w:val="-2"/>
                <w:sz w:val="20"/>
              </w:rPr>
              <w:t>5,915,200,000</w:t>
            </w:r>
          </w:p>
        </w:tc>
      </w:tr>
      <w:tr>
        <w:trPr>
          <w:trHeight w:val="398" w:hRule="atLeast"/>
        </w:trPr>
        <w:tc>
          <w:tcPr>
            <w:tcW w:w="2060" w:type="dxa"/>
          </w:tcPr>
          <w:p>
            <w:pPr>
              <w:pStyle w:val="TableParagraph"/>
              <w:ind w:left="110"/>
              <w:rPr>
                <w:sz w:val="20"/>
              </w:rPr>
            </w:pPr>
            <w:r>
              <w:rPr>
                <w:spacing w:val="-2"/>
                <w:sz w:val="20"/>
              </w:rPr>
              <w:t>Kesehatan</w:t>
            </w:r>
          </w:p>
        </w:tc>
        <w:tc>
          <w:tcPr>
            <w:tcW w:w="1642" w:type="dxa"/>
          </w:tcPr>
          <w:p>
            <w:pPr>
              <w:pStyle w:val="TableParagraph"/>
              <w:ind w:left="110"/>
              <w:rPr>
                <w:sz w:val="20"/>
              </w:rPr>
            </w:pPr>
            <w:r>
              <w:rPr>
                <w:spacing w:val="-2"/>
                <w:sz w:val="20"/>
              </w:rPr>
              <w:t>40,663,224,794</w:t>
            </w:r>
          </w:p>
        </w:tc>
        <w:tc>
          <w:tcPr>
            <w:tcW w:w="1739" w:type="dxa"/>
          </w:tcPr>
          <w:p>
            <w:pPr>
              <w:pStyle w:val="TableParagraph"/>
              <w:ind w:left="110"/>
              <w:rPr>
                <w:sz w:val="20"/>
              </w:rPr>
            </w:pPr>
            <w:r>
              <w:rPr>
                <w:spacing w:val="-2"/>
                <w:sz w:val="20"/>
              </w:rPr>
              <w:t>24,484,787,066</w:t>
            </w:r>
          </w:p>
        </w:tc>
        <w:tc>
          <w:tcPr>
            <w:tcW w:w="1772" w:type="dxa"/>
          </w:tcPr>
          <w:p>
            <w:pPr>
              <w:pStyle w:val="TableParagraph"/>
              <w:ind w:left="110"/>
              <w:rPr>
                <w:sz w:val="20"/>
              </w:rPr>
            </w:pPr>
            <w:r>
              <w:rPr>
                <w:spacing w:val="-2"/>
                <w:sz w:val="20"/>
              </w:rPr>
              <w:t>16,178,437,728</w:t>
            </w:r>
          </w:p>
        </w:tc>
      </w:tr>
      <w:tr>
        <w:trPr>
          <w:trHeight w:val="397" w:hRule="atLeast"/>
        </w:trPr>
        <w:tc>
          <w:tcPr>
            <w:tcW w:w="2060" w:type="dxa"/>
          </w:tcPr>
          <w:p>
            <w:pPr>
              <w:pStyle w:val="TableParagraph"/>
              <w:ind w:left="110"/>
              <w:rPr>
                <w:sz w:val="20"/>
              </w:rPr>
            </w:pPr>
            <w:r>
              <w:rPr>
                <w:spacing w:val="-2"/>
                <w:sz w:val="20"/>
              </w:rPr>
              <w:t>Pendidikan</w:t>
            </w:r>
          </w:p>
        </w:tc>
        <w:tc>
          <w:tcPr>
            <w:tcW w:w="1642" w:type="dxa"/>
          </w:tcPr>
          <w:p>
            <w:pPr>
              <w:pStyle w:val="TableParagraph"/>
              <w:ind w:left="110"/>
              <w:rPr>
                <w:sz w:val="20"/>
              </w:rPr>
            </w:pPr>
            <w:r>
              <w:rPr>
                <w:spacing w:val="-2"/>
                <w:sz w:val="20"/>
              </w:rPr>
              <w:t>55,124,648,000</w:t>
            </w:r>
          </w:p>
        </w:tc>
        <w:tc>
          <w:tcPr>
            <w:tcW w:w="1739" w:type="dxa"/>
          </w:tcPr>
          <w:p>
            <w:pPr>
              <w:pStyle w:val="TableParagraph"/>
              <w:ind w:left="110"/>
              <w:rPr>
                <w:sz w:val="20"/>
              </w:rPr>
            </w:pPr>
            <w:r>
              <w:rPr>
                <w:spacing w:val="-2"/>
                <w:sz w:val="20"/>
              </w:rPr>
              <w:t>19,567,097,127</w:t>
            </w:r>
          </w:p>
        </w:tc>
        <w:tc>
          <w:tcPr>
            <w:tcW w:w="1772" w:type="dxa"/>
          </w:tcPr>
          <w:p>
            <w:pPr>
              <w:pStyle w:val="TableParagraph"/>
              <w:ind w:left="110"/>
              <w:rPr>
                <w:sz w:val="20"/>
              </w:rPr>
            </w:pPr>
            <w:r>
              <w:rPr>
                <w:spacing w:val="-2"/>
                <w:sz w:val="20"/>
              </w:rPr>
              <w:t>35,557,550,873</w:t>
            </w:r>
          </w:p>
        </w:tc>
      </w:tr>
      <w:tr>
        <w:trPr>
          <w:trHeight w:val="402" w:hRule="atLeast"/>
        </w:trPr>
        <w:tc>
          <w:tcPr>
            <w:tcW w:w="2060" w:type="dxa"/>
          </w:tcPr>
          <w:p>
            <w:pPr>
              <w:pStyle w:val="TableParagraph"/>
              <w:spacing w:before="4"/>
              <w:ind w:left="110"/>
              <w:rPr>
                <w:sz w:val="20"/>
              </w:rPr>
            </w:pPr>
            <w:r>
              <w:rPr>
                <w:spacing w:val="-2"/>
                <w:sz w:val="20"/>
              </w:rPr>
              <w:t>Pertanian</w:t>
            </w:r>
          </w:p>
        </w:tc>
        <w:tc>
          <w:tcPr>
            <w:tcW w:w="1642" w:type="dxa"/>
          </w:tcPr>
          <w:p>
            <w:pPr>
              <w:pStyle w:val="TableParagraph"/>
              <w:spacing w:before="4"/>
              <w:ind w:left="110"/>
              <w:rPr>
                <w:sz w:val="20"/>
              </w:rPr>
            </w:pPr>
            <w:r>
              <w:rPr>
                <w:spacing w:val="-2"/>
                <w:sz w:val="20"/>
              </w:rPr>
              <w:t>7,935,000,000</w:t>
            </w:r>
          </w:p>
        </w:tc>
        <w:tc>
          <w:tcPr>
            <w:tcW w:w="1739" w:type="dxa"/>
          </w:tcPr>
          <w:p>
            <w:pPr>
              <w:pStyle w:val="TableParagraph"/>
              <w:spacing w:before="4"/>
              <w:ind w:left="110"/>
              <w:rPr>
                <w:sz w:val="20"/>
              </w:rPr>
            </w:pPr>
            <w:r>
              <w:rPr>
                <w:spacing w:val="-2"/>
                <w:sz w:val="20"/>
              </w:rPr>
              <w:t>2,495,000,000</w:t>
            </w:r>
          </w:p>
        </w:tc>
        <w:tc>
          <w:tcPr>
            <w:tcW w:w="1772" w:type="dxa"/>
          </w:tcPr>
          <w:p>
            <w:pPr>
              <w:pStyle w:val="TableParagraph"/>
              <w:spacing w:before="4"/>
              <w:ind w:left="110"/>
              <w:rPr>
                <w:sz w:val="20"/>
              </w:rPr>
            </w:pPr>
            <w:r>
              <w:rPr>
                <w:spacing w:val="-2"/>
                <w:sz w:val="20"/>
              </w:rPr>
              <w:t>5,440,000,000</w:t>
            </w:r>
          </w:p>
        </w:tc>
      </w:tr>
      <w:tr>
        <w:trPr>
          <w:trHeight w:val="398" w:hRule="atLeast"/>
        </w:trPr>
        <w:tc>
          <w:tcPr>
            <w:tcW w:w="2060" w:type="dxa"/>
          </w:tcPr>
          <w:p>
            <w:pPr>
              <w:pStyle w:val="TableParagraph"/>
              <w:ind w:left="110"/>
              <w:rPr>
                <w:sz w:val="20"/>
              </w:rPr>
            </w:pPr>
            <w:r>
              <w:rPr>
                <w:spacing w:val="-2"/>
                <w:sz w:val="20"/>
              </w:rPr>
              <w:t>Jumlah</w:t>
            </w:r>
          </w:p>
        </w:tc>
        <w:tc>
          <w:tcPr>
            <w:tcW w:w="1642" w:type="dxa"/>
          </w:tcPr>
          <w:p>
            <w:pPr>
              <w:pStyle w:val="TableParagraph"/>
              <w:ind w:left="110"/>
              <w:rPr>
                <w:sz w:val="20"/>
              </w:rPr>
            </w:pPr>
            <w:r>
              <w:rPr>
                <w:spacing w:val="-2"/>
                <w:sz w:val="20"/>
              </w:rPr>
              <w:t>115,268,281,794</w:t>
            </w:r>
          </w:p>
        </w:tc>
        <w:tc>
          <w:tcPr>
            <w:tcW w:w="1739" w:type="dxa"/>
          </w:tcPr>
          <w:p>
            <w:pPr>
              <w:pStyle w:val="TableParagraph"/>
              <w:ind w:left="110"/>
              <w:rPr>
                <w:sz w:val="20"/>
              </w:rPr>
            </w:pPr>
            <w:r>
              <w:rPr>
                <w:spacing w:val="-2"/>
                <w:sz w:val="20"/>
              </w:rPr>
              <w:t>50,353,805,193</w:t>
            </w:r>
          </w:p>
        </w:tc>
        <w:tc>
          <w:tcPr>
            <w:tcW w:w="1772" w:type="dxa"/>
          </w:tcPr>
          <w:p>
            <w:pPr>
              <w:pStyle w:val="TableParagraph"/>
              <w:ind w:left="110"/>
              <w:rPr>
                <w:sz w:val="20"/>
              </w:rPr>
            </w:pPr>
            <w:r>
              <w:rPr>
                <w:spacing w:val="-2"/>
                <w:sz w:val="20"/>
              </w:rPr>
              <w:t>64,914,476,601</w:t>
            </w:r>
          </w:p>
        </w:tc>
      </w:tr>
    </w:tbl>
    <w:p>
      <w:pPr>
        <w:pStyle w:val="BodyText"/>
        <w:ind w:left="1493"/>
        <w:jc w:val="left"/>
      </w:pPr>
      <w:r>
        <w:rPr>
          <w:i/>
        </w:rPr>
        <w:t>Sumber</w:t>
      </w:r>
      <w:r>
        <w:rPr/>
        <w:t>:</w:t>
      </w:r>
      <w:r>
        <w:rPr>
          <w:spacing w:val="-7"/>
        </w:rPr>
        <w:t> </w:t>
      </w:r>
      <w:r>
        <w:rPr/>
        <w:t>Ditjen</w:t>
      </w:r>
      <w:r>
        <w:rPr>
          <w:spacing w:val="-9"/>
        </w:rPr>
        <w:t> </w:t>
      </w:r>
      <w:r>
        <w:rPr/>
        <w:t>Dana</w:t>
      </w:r>
      <w:r>
        <w:rPr>
          <w:spacing w:val="-9"/>
        </w:rPr>
        <w:t> </w:t>
      </w:r>
      <w:r>
        <w:rPr/>
        <w:t>Perimbangan</w:t>
      </w:r>
      <w:r>
        <w:rPr>
          <w:spacing w:val="-8"/>
        </w:rPr>
        <w:t> </w:t>
      </w:r>
      <w:r>
        <w:rPr/>
        <w:t>Kemenkeu,</w:t>
      </w:r>
      <w:r>
        <w:rPr>
          <w:spacing w:val="-1"/>
        </w:rPr>
        <w:t> </w:t>
      </w:r>
      <w:r>
        <w:rPr>
          <w:spacing w:val="-2"/>
        </w:rPr>
        <w:t>2023.</w:t>
      </w:r>
    </w:p>
    <w:p>
      <w:pPr>
        <w:pStyle w:val="BodyText"/>
        <w:spacing w:after="0"/>
        <w:jc w:val="left"/>
        <w:sectPr>
          <w:pgSz w:w="11910" w:h="16840"/>
          <w:pgMar w:header="0" w:footer="1186" w:top="1580" w:bottom="1380" w:left="1700" w:right="992"/>
        </w:sectPr>
      </w:pPr>
    </w:p>
    <w:p>
      <w:pPr>
        <w:pStyle w:val="BodyText"/>
        <w:spacing w:line="360" w:lineRule="auto" w:before="82"/>
        <w:ind w:left="1248" w:right="705" w:firstLine="720"/>
      </w:pPr>
      <w:r>
        <w:rPr/>
        <w:t>Desentralisasi fiskal merupakan instrumen bagi daerah untuk membangun kemandirian sebagai fondasi otonomi daerah. Melalui desentralisasi fiskal, daerah memiliki ruang yang lebar untuk mengatur sumber-sumber penerimaan maupun pembelanjaan daerah. Namun, di banyak pemerintah daerah, pemberian kewenangan</w:t>
      </w:r>
      <w:r>
        <w:rPr>
          <w:spacing w:val="-7"/>
        </w:rPr>
        <w:t> </w:t>
      </w:r>
      <w:r>
        <w:rPr/>
        <w:t>yang</w:t>
      </w:r>
      <w:r>
        <w:rPr>
          <w:spacing w:val="-7"/>
        </w:rPr>
        <w:t> </w:t>
      </w:r>
      <w:r>
        <w:rPr/>
        <w:t>besar</w:t>
      </w:r>
      <w:r>
        <w:rPr>
          <w:spacing w:val="-7"/>
        </w:rPr>
        <w:t> </w:t>
      </w:r>
      <w:r>
        <w:rPr/>
        <w:t>tidak</w:t>
      </w:r>
      <w:r>
        <w:rPr>
          <w:spacing w:val="-5"/>
        </w:rPr>
        <w:t> </w:t>
      </w:r>
      <w:r>
        <w:rPr/>
        <w:t>berbanding</w:t>
      </w:r>
      <w:r>
        <w:rPr>
          <w:spacing w:val="-7"/>
        </w:rPr>
        <w:t> </w:t>
      </w:r>
      <w:r>
        <w:rPr/>
        <w:t>lurus</w:t>
      </w:r>
      <w:r>
        <w:rPr>
          <w:spacing w:val="-6"/>
        </w:rPr>
        <w:t> </w:t>
      </w:r>
      <w:r>
        <w:rPr/>
        <w:t>dengan</w:t>
      </w:r>
      <w:r>
        <w:rPr>
          <w:spacing w:val="-1"/>
        </w:rPr>
        <w:t> </w:t>
      </w:r>
      <w:r>
        <w:rPr/>
        <w:t>kemandirian daerah, dengan masih rendahnya indikator kemandirian fiskal. Data kemenkeu 2019 menunjukkan dari 542 pemerintah daerah, hanya satu yang berkategori mandiri dan 8 provinsi, 2 kabupaten berhasil mencapai level sangat mandiri.</w:t>
      </w:r>
    </w:p>
    <w:p>
      <w:pPr>
        <w:pStyle w:val="BodyText"/>
        <w:spacing w:before="1"/>
        <w:jc w:val="left"/>
      </w:pPr>
    </w:p>
    <w:p>
      <w:pPr>
        <w:pStyle w:val="Heading2"/>
        <w:numPr>
          <w:ilvl w:val="2"/>
          <w:numId w:val="32"/>
        </w:numPr>
        <w:tabs>
          <w:tab w:pos="1951" w:val="left" w:leader="none"/>
        </w:tabs>
        <w:spacing w:line="240" w:lineRule="auto" w:before="0" w:after="0"/>
        <w:ind w:left="1951" w:right="0" w:hanging="607"/>
        <w:jc w:val="both"/>
      </w:pPr>
      <w:bookmarkStart w:name="_bookmark49" w:id="50"/>
      <w:bookmarkEnd w:id="50"/>
      <w:r>
        <w:rPr>
          <w:b w:val="0"/>
        </w:rPr>
      </w:r>
      <w:r>
        <w:rPr/>
        <w:t>Potensi</w:t>
      </w:r>
      <w:r>
        <w:rPr>
          <w:spacing w:val="-8"/>
        </w:rPr>
        <w:t> </w:t>
      </w:r>
      <w:r>
        <w:rPr/>
        <w:t>Pengeluaran</w:t>
      </w:r>
      <w:r>
        <w:rPr>
          <w:spacing w:val="-8"/>
        </w:rPr>
        <w:t> </w:t>
      </w:r>
      <w:r>
        <w:rPr/>
        <w:t>Pasca</w:t>
      </w:r>
      <w:r>
        <w:rPr>
          <w:spacing w:val="-7"/>
        </w:rPr>
        <w:t> </w:t>
      </w:r>
      <w:r>
        <w:rPr>
          <w:spacing w:val="-5"/>
        </w:rPr>
        <w:t>IKN</w:t>
      </w:r>
    </w:p>
    <w:p>
      <w:pPr>
        <w:pStyle w:val="BodyText"/>
        <w:spacing w:line="360" w:lineRule="auto" w:before="223"/>
        <w:ind w:left="1248" w:right="696" w:firstLine="720"/>
      </w:pPr>
      <w:r>
        <w:rPr/>
        <w:t>Potensi</w:t>
      </w:r>
      <w:r>
        <w:rPr>
          <w:spacing w:val="-17"/>
        </w:rPr>
        <w:t> </w:t>
      </w:r>
      <w:r>
        <w:rPr/>
        <w:t>pengeluaran</w:t>
      </w:r>
      <w:r>
        <w:rPr>
          <w:spacing w:val="-16"/>
        </w:rPr>
        <w:t> </w:t>
      </w:r>
      <w:r>
        <w:rPr/>
        <w:t>Pemerintah</w:t>
      </w:r>
      <w:r>
        <w:rPr>
          <w:spacing w:val="-17"/>
        </w:rPr>
        <w:t> </w:t>
      </w:r>
      <w:r>
        <w:rPr/>
        <w:t>Kabupaten</w:t>
      </w:r>
      <w:r>
        <w:rPr>
          <w:spacing w:val="-16"/>
        </w:rPr>
        <w:t> </w:t>
      </w:r>
      <w:r>
        <w:rPr/>
        <w:t>Kutai</w:t>
      </w:r>
      <w:r>
        <w:rPr>
          <w:spacing w:val="-17"/>
        </w:rPr>
        <w:t> </w:t>
      </w:r>
      <w:r>
        <w:rPr/>
        <w:t>Kartanegara pasca-IKN</w:t>
      </w:r>
      <w:r>
        <w:rPr>
          <w:spacing w:val="-12"/>
        </w:rPr>
        <w:t> </w:t>
      </w:r>
      <w:r>
        <w:rPr/>
        <w:t>secara</w:t>
      </w:r>
      <w:r>
        <w:rPr>
          <w:spacing w:val="-11"/>
        </w:rPr>
        <w:t> </w:t>
      </w:r>
      <w:r>
        <w:rPr/>
        <w:t>fiskal</w:t>
      </w:r>
      <w:r>
        <w:rPr>
          <w:spacing w:val="-10"/>
        </w:rPr>
        <w:t> </w:t>
      </w:r>
      <w:r>
        <w:rPr/>
        <w:t>akan</w:t>
      </w:r>
      <w:r>
        <w:rPr>
          <w:spacing w:val="-11"/>
        </w:rPr>
        <w:t> </w:t>
      </w:r>
      <w:r>
        <w:rPr/>
        <w:t>berkurang</w:t>
      </w:r>
      <w:r>
        <w:rPr>
          <w:spacing w:val="-11"/>
        </w:rPr>
        <w:t> </w:t>
      </w:r>
      <w:r>
        <w:rPr/>
        <w:t>dari</w:t>
      </w:r>
      <w:r>
        <w:rPr>
          <w:spacing w:val="-10"/>
        </w:rPr>
        <w:t> </w:t>
      </w:r>
      <w:r>
        <w:rPr/>
        <w:t>alokasi</w:t>
      </w:r>
      <w:r>
        <w:rPr>
          <w:spacing w:val="-10"/>
        </w:rPr>
        <w:t> </w:t>
      </w:r>
      <w:r>
        <w:rPr/>
        <w:t>anggaran</w:t>
      </w:r>
      <w:r>
        <w:rPr>
          <w:spacing w:val="-10"/>
        </w:rPr>
        <w:t> </w:t>
      </w:r>
      <w:r>
        <w:rPr/>
        <w:t>untuk</w:t>
      </w:r>
      <w:r>
        <w:rPr>
          <w:spacing w:val="-9"/>
        </w:rPr>
        <w:t> </w:t>
      </w:r>
      <w:r>
        <w:rPr/>
        <w:t>6 kecamatan yang wilayahnya menjadi wilayah IKN, yakni sebesar Rp 599,203,696,139.00</w:t>
      </w:r>
      <w:r>
        <w:rPr>
          <w:spacing w:val="-13"/>
        </w:rPr>
        <w:t> </w:t>
      </w:r>
      <w:r>
        <w:rPr/>
        <w:t>(sekitar</w:t>
      </w:r>
      <w:r>
        <w:rPr>
          <w:spacing w:val="-12"/>
        </w:rPr>
        <w:t> </w:t>
      </w:r>
      <w:r>
        <w:rPr/>
        <w:t>Rp599</w:t>
      </w:r>
      <w:r>
        <w:rPr>
          <w:spacing w:val="-10"/>
        </w:rPr>
        <w:t> </w:t>
      </w:r>
      <w:r>
        <w:rPr/>
        <w:t>M).</w:t>
      </w:r>
      <w:r>
        <w:rPr>
          <w:spacing w:val="-14"/>
        </w:rPr>
        <w:t> </w:t>
      </w:r>
      <w:r>
        <w:rPr/>
        <w:t>Namun</w:t>
      </w:r>
      <w:r>
        <w:rPr>
          <w:spacing w:val="-12"/>
        </w:rPr>
        <w:t> </w:t>
      </w:r>
      <w:r>
        <w:rPr/>
        <w:t>demikian,</w:t>
      </w:r>
      <w:r>
        <w:rPr>
          <w:spacing w:val="-10"/>
        </w:rPr>
        <w:t> </w:t>
      </w:r>
      <w:r>
        <w:rPr/>
        <w:t>dari</w:t>
      </w:r>
      <w:r>
        <w:rPr>
          <w:spacing w:val="-11"/>
        </w:rPr>
        <w:t> </w:t>
      </w:r>
      <w:r>
        <w:rPr/>
        <w:t>dampak yang</w:t>
      </w:r>
      <w:r>
        <w:rPr>
          <w:spacing w:val="-11"/>
        </w:rPr>
        <w:t> </w:t>
      </w:r>
      <w:r>
        <w:rPr/>
        <w:t>mungkin</w:t>
      </w:r>
      <w:r>
        <w:rPr>
          <w:spacing w:val="-10"/>
        </w:rPr>
        <w:t> </w:t>
      </w:r>
      <w:r>
        <w:rPr/>
        <w:t>timbul</w:t>
      </w:r>
      <w:r>
        <w:rPr>
          <w:spacing w:val="-10"/>
        </w:rPr>
        <w:t> </w:t>
      </w:r>
      <w:r>
        <w:rPr/>
        <w:t>terhadap</w:t>
      </w:r>
      <w:r>
        <w:rPr>
          <w:spacing w:val="-10"/>
        </w:rPr>
        <w:t> </w:t>
      </w:r>
      <w:r>
        <w:rPr/>
        <w:t>aspek</w:t>
      </w:r>
      <w:r>
        <w:rPr>
          <w:spacing w:val="-8"/>
        </w:rPr>
        <w:t> </w:t>
      </w:r>
      <w:r>
        <w:rPr/>
        <w:t>lainnya</w:t>
      </w:r>
      <w:r>
        <w:rPr>
          <w:spacing w:val="-11"/>
        </w:rPr>
        <w:t> </w:t>
      </w:r>
      <w:r>
        <w:rPr/>
        <w:t>(misalnya</w:t>
      </w:r>
      <w:r>
        <w:rPr>
          <w:spacing w:val="-6"/>
        </w:rPr>
        <w:t> </w:t>
      </w:r>
      <w:r>
        <w:rPr/>
        <w:t>politik,</w:t>
      </w:r>
      <w:r>
        <w:rPr>
          <w:spacing w:val="-8"/>
        </w:rPr>
        <w:t> </w:t>
      </w:r>
      <w:r>
        <w:rPr/>
        <w:t>sosial, teknologi, lingkungan, dan hukum) tentu bisa saja bertambah </w:t>
      </w:r>
      <w:r>
        <w:rPr>
          <w:spacing w:val="-2"/>
        </w:rPr>
        <w:t>pengeluaran.</w:t>
      </w:r>
    </w:p>
    <w:p>
      <w:pPr>
        <w:pStyle w:val="BodyText"/>
        <w:spacing w:line="360" w:lineRule="auto"/>
        <w:ind w:left="1248" w:right="700" w:firstLine="720"/>
      </w:pPr>
      <w:r>
        <w:rPr/>
        <w:t>Namun,</w:t>
      </w:r>
      <w:r>
        <w:rPr>
          <w:spacing w:val="-11"/>
        </w:rPr>
        <w:t> </w:t>
      </w:r>
      <w:r>
        <w:rPr/>
        <w:t>perlu</w:t>
      </w:r>
      <w:r>
        <w:rPr>
          <w:spacing w:val="-14"/>
        </w:rPr>
        <w:t> </w:t>
      </w:r>
      <w:r>
        <w:rPr/>
        <w:t>juga</w:t>
      </w:r>
      <w:r>
        <w:rPr>
          <w:spacing w:val="-14"/>
        </w:rPr>
        <w:t> </w:t>
      </w:r>
      <w:r>
        <w:rPr/>
        <w:t>diperhitungkan</w:t>
      </w:r>
      <w:r>
        <w:rPr>
          <w:spacing w:val="-12"/>
        </w:rPr>
        <w:t> </w:t>
      </w:r>
      <w:r>
        <w:rPr/>
        <w:t>bahwa</w:t>
      </w:r>
      <w:r>
        <w:rPr>
          <w:spacing w:val="-14"/>
        </w:rPr>
        <w:t> </w:t>
      </w:r>
      <w:r>
        <w:rPr/>
        <w:t>beralihnya</w:t>
      </w:r>
      <w:r>
        <w:rPr>
          <w:spacing w:val="-13"/>
        </w:rPr>
        <w:t> </w:t>
      </w:r>
      <w:r>
        <w:rPr/>
        <w:t>sebagian wilayah Kabupaten Kutai Kartanegara juga akan mengurangi beban Pemerintah Kabupaten Kutai Kartanegara. Misalnya terhadap kelompok masyarakat miskin yang berada di wilayah yang masuk ke IKN. Demikian pula berkurangnya biaya karena tidak perlu mengeluarkan</w:t>
      </w:r>
      <w:r>
        <w:rPr>
          <w:spacing w:val="-2"/>
        </w:rPr>
        <w:t> </w:t>
      </w:r>
      <w:r>
        <w:rPr/>
        <w:t>dana</w:t>
      </w:r>
      <w:r>
        <w:rPr>
          <w:spacing w:val="-3"/>
        </w:rPr>
        <w:t> </w:t>
      </w:r>
      <w:r>
        <w:rPr/>
        <w:t>rehabilitasi lingkungan</w:t>
      </w:r>
      <w:r>
        <w:rPr>
          <w:spacing w:val="-2"/>
        </w:rPr>
        <w:t> </w:t>
      </w:r>
      <w:r>
        <w:rPr/>
        <w:t>eks</w:t>
      </w:r>
      <w:r>
        <w:rPr>
          <w:spacing w:val="-2"/>
        </w:rPr>
        <w:t> </w:t>
      </w:r>
      <w:r>
        <w:rPr/>
        <w:t>lokasi</w:t>
      </w:r>
      <w:r>
        <w:rPr>
          <w:spacing w:val="-1"/>
        </w:rPr>
        <w:t> </w:t>
      </w:r>
      <w:r>
        <w:rPr/>
        <w:t>tambang</w:t>
      </w:r>
      <w:r>
        <w:rPr>
          <w:spacing w:val="-3"/>
        </w:rPr>
        <w:t> </w:t>
      </w:r>
      <w:r>
        <w:rPr/>
        <w:t>yang masuk ke wilayah IKN.</w:t>
      </w:r>
    </w:p>
    <w:p>
      <w:pPr>
        <w:pStyle w:val="BodyText"/>
        <w:spacing w:after="0" w:line="360" w:lineRule="auto"/>
        <w:sectPr>
          <w:pgSz w:w="11910" w:h="16840"/>
          <w:pgMar w:header="0" w:footer="1186" w:top="1580" w:bottom="1380" w:left="1700" w:right="992"/>
        </w:sectPr>
      </w:pPr>
    </w:p>
    <w:p>
      <w:pPr>
        <w:pStyle w:val="Heading2"/>
        <w:numPr>
          <w:ilvl w:val="1"/>
          <w:numId w:val="32"/>
        </w:numPr>
        <w:tabs>
          <w:tab w:pos="977" w:val="left" w:leader="none"/>
        </w:tabs>
        <w:spacing w:line="240" w:lineRule="auto" w:before="82" w:after="0"/>
        <w:ind w:left="977" w:right="0" w:hanging="411"/>
        <w:jc w:val="left"/>
      </w:pPr>
      <w:bookmarkStart w:name="_bookmark50" w:id="51"/>
      <w:bookmarkEnd w:id="51"/>
      <w:r>
        <w:rPr>
          <w:b w:val="0"/>
        </w:rPr>
      </w:r>
      <w:r>
        <w:rPr/>
        <w:t>Dampak</w:t>
      </w:r>
      <w:r>
        <w:rPr>
          <w:spacing w:val="-8"/>
        </w:rPr>
        <w:t> </w:t>
      </w:r>
      <w:r>
        <w:rPr/>
        <w:t>IKN</w:t>
      </w:r>
      <w:r>
        <w:rPr>
          <w:spacing w:val="-6"/>
        </w:rPr>
        <w:t> </w:t>
      </w:r>
      <w:r>
        <w:rPr/>
        <w:t>bagi</w:t>
      </w:r>
      <w:r>
        <w:rPr>
          <w:spacing w:val="-13"/>
        </w:rPr>
        <w:t> </w:t>
      </w:r>
      <w:r>
        <w:rPr/>
        <w:t>Kabupaten</w:t>
      </w:r>
      <w:r>
        <w:rPr>
          <w:spacing w:val="-9"/>
        </w:rPr>
        <w:t> </w:t>
      </w:r>
      <w:r>
        <w:rPr/>
        <w:t>Kutai</w:t>
      </w:r>
      <w:r>
        <w:rPr>
          <w:spacing w:val="-9"/>
        </w:rPr>
        <w:t> </w:t>
      </w:r>
      <w:r>
        <w:rPr>
          <w:spacing w:val="-2"/>
        </w:rPr>
        <w:t>Kartanegara</w:t>
      </w:r>
    </w:p>
    <w:p>
      <w:pPr>
        <w:pStyle w:val="Heading2"/>
        <w:numPr>
          <w:ilvl w:val="2"/>
          <w:numId w:val="32"/>
        </w:numPr>
        <w:tabs>
          <w:tab w:pos="1811" w:val="left" w:leader="none"/>
        </w:tabs>
        <w:spacing w:line="240" w:lineRule="auto" w:before="218" w:after="0"/>
        <w:ind w:left="1811" w:right="0" w:hanging="611"/>
        <w:jc w:val="left"/>
      </w:pPr>
      <w:bookmarkStart w:name="_bookmark51" w:id="52"/>
      <w:bookmarkEnd w:id="52"/>
      <w:r>
        <w:rPr>
          <w:b w:val="0"/>
        </w:rPr>
      </w:r>
      <w:r>
        <w:rPr/>
        <w:t>Dampak</w:t>
      </w:r>
      <w:r>
        <w:rPr>
          <w:spacing w:val="-13"/>
        </w:rPr>
        <w:t> </w:t>
      </w:r>
      <w:r>
        <w:rPr>
          <w:spacing w:val="-2"/>
        </w:rPr>
        <w:t>Politik</w:t>
      </w:r>
    </w:p>
    <w:p>
      <w:pPr>
        <w:pStyle w:val="ListParagraph"/>
        <w:numPr>
          <w:ilvl w:val="3"/>
          <w:numId w:val="32"/>
        </w:numPr>
        <w:tabs>
          <w:tab w:pos="1843" w:val="left" w:leader="none"/>
        </w:tabs>
        <w:spacing w:line="360" w:lineRule="auto" w:before="224" w:after="0"/>
        <w:ind w:left="1843" w:right="1121" w:hanging="360"/>
        <w:jc w:val="left"/>
        <w:rPr>
          <w:b/>
          <w:sz w:val="24"/>
        </w:rPr>
      </w:pPr>
      <w:r>
        <w:rPr>
          <w:b/>
          <w:sz w:val="24"/>
        </w:rPr>
        <w:t>Minimnya</w:t>
      </w:r>
      <w:r>
        <w:rPr>
          <w:b/>
          <w:spacing w:val="-9"/>
          <w:sz w:val="24"/>
        </w:rPr>
        <w:t> </w:t>
      </w:r>
      <w:r>
        <w:rPr>
          <w:b/>
          <w:sz w:val="24"/>
        </w:rPr>
        <w:t>Komunikasi</w:t>
      </w:r>
      <w:r>
        <w:rPr>
          <w:b/>
          <w:spacing w:val="-11"/>
          <w:sz w:val="24"/>
        </w:rPr>
        <w:t> </w:t>
      </w:r>
      <w:r>
        <w:rPr>
          <w:b/>
          <w:sz w:val="24"/>
        </w:rPr>
        <w:t>Politik</w:t>
      </w:r>
      <w:r>
        <w:rPr>
          <w:b/>
          <w:spacing w:val="-10"/>
          <w:sz w:val="24"/>
        </w:rPr>
        <w:t> </w:t>
      </w:r>
      <w:r>
        <w:rPr>
          <w:b/>
          <w:sz w:val="24"/>
        </w:rPr>
        <w:t>Pemda</w:t>
      </w:r>
      <w:r>
        <w:rPr>
          <w:b/>
          <w:spacing w:val="-9"/>
          <w:sz w:val="24"/>
        </w:rPr>
        <w:t> </w:t>
      </w:r>
      <w:r>
        <w:rPr>
          <w:b/>
          <w:sz w:val="24"/>
        </w:rPr>
        <w:t>Kutai</w:t>
      </w:r>
      <w:r>
        <w:rPr>
          <w:b/>
          <w:spacing w:val="-6"/>
          <w:sz w:val="24"/>
        </w:rPr>
        <w:t> </w:t>
      </w:r>
      <w:r>
        <w:rPr>
          <w:b/>
          <w:sz w:val="24"/>
        </w:rPr>
        <w:t>Kartanegara dan Otorita IKN</w:t>
      </w:r>
    </w:p>
    <w:p>
      <w:pPr>
        <w:pStyle w:val="BodyText"/>
        <w:spacing w:line="360" w:lineRule="auto" w:before="2"/>
        <w:ind w:left="1843" w:right="705"/>
      </w:pPr>
      <w:r>
        <w:rPr/>
        <w:t>Ketua DPRD Kabupaten Kutai Kartanegara, Abdul Rasid, mengeluhkan</w:t>
      </w:r>
      <w:r>
        <w:rPr>
          <w:spacing w:val="-2"/>
        </w:rPr>
        <w:t> </w:t>
      </w:r>
      <w:r>
        <w:rPr/>
        <w:t>minimnya</w:t>
      </w:r>
      <w:r>
        <w:rPr>
          <w:spacing w:val="-3"/>
        </w:rPr>
        <w:t> </w:t>
      </w:r>
      <w:r>
        <w:rPr/>
        <w:t>komunikasi</w:t>
      </w:r>
      <w:r>
        <w:rPr>
          <w:spacing w:val="-1"/>
        </w:rPr>
        <w:t> </w:t>
      </w:r>
      <w:r>
        <w:rPr/>
        <w:t>yang</w:t>
      </w:r>
      <w:r>
        <w:rPr>
          <w:spacing w:val="-3"/>
        </w:rPr>
        <w:t> </w:t>
      </w:r>
      <w:r>
        <w:rPr/>
        <w:t>dilakukan</w:t>
      </w:r>
      <w:r>
        <w:rPr>
          <w:spacing w:val="-2"/>
        </w:rPr>
        <w:t> </w:t>
      </w:r>
      <w:r>
        <w:rPr/>
        <w:t>oleh</w:t>
      </w:r>
      <w:r>
        <w:rPr>
          <w:spacing w:val="-2"/>
        </w:rPr>
        <w:t> </w:t>
      </w:r>
      <w:r>
        <w:rPr/>
        <w:t>pihak Otorita IKN kepada daerah mitra IKN. Dalam wawancara, 23 Oktober</w:t>
      </w:r>
      <w:r>
        <w:rPr>
          <w:spacing w:val="-4"/>
        </w:rPr>
        <w:t> </w:t>
      </w:r>
      <w:r>
        <w:rPr/>
        <w:t>2023,</w:t>
      </w:r>
      <w:r>
        <w:rPr>
          <w:spacing w:val="-2"/>
        </w:rPr>
        <w:t> </w:t>
      </w:r>
      <w:r>
        <w:rPr/>
        <w:t>beliau</w:t>
      </w:r>
      <w:r>
        <w:rPr>
          <w:spacing w:val="-4"/>
        </w:rPr>
        <w:t> </w:t>
      </w:r>
      <w:r>
        <w:rPr/>
        <w:t>menyampaikan</w:t>
      </w:r>
      <w:r>
        <w:rPr>
          <w:spacing w:val="-4"/>
        </w:rPr>
        <w:t> </w:t>
      </w:r>
      <w:r>
        <w:rPr/>
        <w:t>bahwa</w:t>
      </w:r>
      <w:r>
        <w:rPr>
          <w:spacing w:val="-5"/>
        </w:rPr>
        <w:t> </w:t>
      </w:r>
      <w:r>
        <w:rPr/>
        <w:t>komunikasi</w:t>
      </w:r>
      <w:r>
        <w:rPr>
          <w:spacing w:val="-3"/>
        </w:rPr>
        <w:t> </w:t>
      </w:r>
      <w:r>
        <w:rPr/>
        <w:t>antara Pemerintah</w:t>
      </w:r>
      <w:r>
        <w:rPr>
          <w:spacing w:val="-14"/>
        </w:rPr>
        <w:t> </w:t>
      </w:r>
      <w:r>
        <w:rPr/>
        <w:t>Daerah</w:t>
      </w:r>
      <w:r>
        <w:rPr>
          <w:spacing w:val="-10"/>
        </w:rPr>
        <w:t> </w:t>
      </w:r>
      <w:r>
        <w:rPr/>
        <w:t>Kabupaten</w:t>
      </w:r>
      <w:r>
        <w:rPr>
          <w:spacing w:val="-10"/>
        </w:rPr>
        <w:t> </w:t>
      </w:r>
      <w:r>
        <w:rPr/>
        <w:t>Kutai</w:t>
      </w:r>
      <w:r>
        <w:rPr>
          <w:spacing w:val="-9"/>
        </w:rPr>
        <w:t> </w:t>
      </w:r>
      <w:r>
        <w:rPr/>
        <w:t>Kartanegara</w:t>
      </w:r>
      <w:r>
        <w:rPr>
          <w:spacing w:val="-10"/>
        </w:rPr>
        <w:t> </w:t>
      </w:r>
      <w:r>
        <w:rPr/>
        <w:t>saat</w:t>
      </w:r>
      <w:r>
        <w:rPr>
          <w:spacing w:val="-8"/>
        </w:rPr>
        <w:t> </w:t>
      </w:r>
      <w:r>
        <w:rPr/>
        <w:t>ini</w:t>
      </w:r>
      <w:r>
        <w:rPr>
          <w:spacing w:val="-9"/>
        </w:rPr>
        <w:t> </w:t>
      </w:r>
      <w:r>
        <w:rPr/>
        <w:t>dinilai </w:t>
      </w:r>
      <w:r>
        <w:rPr>
          <w:spacing w:val="-2"/>
        </w:rPr>
        <w:t>minim.</w:t>
      </w:r>
    </w:p>
    <w:p>
      <w:pPr>
        <w:spacing w:line="240" w:lineRule="auto" w:before="0"/>
        <w:ind w:left="2328" w:right="696" w:firstLine="0"/>
        <w:jc w:val="both"/>
        <w:rPr>
          <w:sz w:val="22"/>
        </w:rPr>
      </w:pPr>
      <w:r>
        <w:rPr>
          <w:sz w:val="22"/>
        </w:rPr>
        <w:t>“Komunikasi dengan Otorita IKN tidak nyambung. Semestinya kan, Pemerintah Pusat (OIKN) mengundang Gubernur Kalimantan Timur, Bupati Kutai Kartanegara, Bupati PPU, Walikota Balikpapan, untuk duduk bersama untuk memikirkan dan menyusun rencana bidang apa saja yang akan dikembangkan di daerah-daerah mitra IKN. Dari Kabupaten Kutai Kartanegara sudah menyampaikan pokok=pokok pikiran terkait dengan rencana pengembangan dan pembangunan wilayah dala mendukung IKN. Namun, belum ada respon dari Otorita IKN”</w:t>
      </w:r>
    </w:p>
    <w:p>
      <w:pPr>
        <w:pStyle w:val="BodyText"/>
        <w:spacing w:before="184"/>
        <w:jc w:val="left"/>
        <w:rPr>
          <w:sz w:val="22"/>
        </w:rPr>
      </w:pPr>
    </w:p>
    <w:p>
      <w:pPr>
        <w:pStyle w:val="BodyText"/>
        <w:spacing w:line="360" w:lineRule="auto"/>
        <w:ind w:left="1843" w:right="699"/>
      </w:pPr>
      <w:r>
        <w:rPr/>
        <w:t>Sekretaris Daerah Kutai Kartanegara, H. Sunggono, mengakui bahwa</w:t>
      </w:r>
      <w:r>
        <w:rPr>
          <w:spacing w:val="-3"/>
        </w:rPr>
        <w:t> </w:t>
      </w:r>
      <w:r>
        <w:rPr/>
        <w:t>Otorita</w:t>
      </w:r>
      <w:r>
        <w:rPr>
          <w:spacing w:val="-3"/>
        </w:rPr>
        <w:t> </w:t>
      </w:r>
      <w:r>
        <w:rPr/>
        <w:t>IKN</w:t>
      </w:r>
      <w:r>
        <w:rPr>
          <w:spacing w:val="-3"/>
        </w:rPr>
        <w:t> </w:t>
      </w:r>
      <w:r>
        <w:rPr/>
        <w:t>sangat</w:t>
      </w:r>
      <w:r>
        <w:rPr>
          <w:spacing w:val="-1"/>
        </w:rPr>
        <w:t> </w:t>
      </w:r>
      <w:r>
        <w:rPr/>
        <w:t>minim</w:t>
      </w:r>
      <w:r>
        <w:rPr>
          <w:spacing w:val="-2"/>
        </w:rPr>
        <w:t> </w:t>
      </w:r>
      <w:r>
        <w:rPr/>
        <w:t>dalam</w:t>
      </w:r>
      <w:r>
        <w:rPr>
          <w:spacing w:val="-2"/>
        </w:rPr>
        <w:t> </w:t>
      </w:r>
      <w:r>
        <w:rPr/>
        <w:t>melakukan</w:t>
      </w:r>
      <w:r>
        <w:rPr>
          <w:spacing w:val="-3"/>
        </w:rPr>
        <w:t> </w:t>
      </w:r>
      <w:r>
        <w:rPr/>
        <w:t>komunikasi politik kepada Pemerintah Kabupaten Kutai Kartanegara, termasuk dengan DPRD (Wawancara 23 Oktober 2023). Sekda Kutai Kartanegara menyampaikan:</w:t>
      </w:r>
    </w:p>
    <w:p>
      <w:pPr>
        <w:spacing w:before="2"/>
        <w:ind w:left="2328" w:right="696" w:firstLine="0"/>
        <w:jc w:val="both"/>
        <w:rPr>
          <w:sz w:val="22"/>
        </w:rPr>
      </w:pPr>
      <w:r>
        <w:rPr>
          <w:sz w:val="24"/>
        </w:rPr>
        <w:t>“</w:t>
      </w:r>
      <w:r>
        <w:rPr>
          <w:sz w:val="22"/>
        </w:rPr>
        <w:t>Kalau dengan Kementerian dan Lembaga (K/L) sering atau beberapa kali (komuniasi).</w:t>
      </w:r>
      <w:r>
        <w:rPr>
          <w:spacing w:val="-2"/>
          <w:sz w:val="22"/>
        </w:rPr>
        <w:t> </w:t>
      </w:r>
      <w:r>
        <w:rPr>
          <w:sz w:val="22"/>
        </w:rPr>
        <w:t>Komunikasi</w:t>
      </w:r>
      <w:r>
        <w:rPr>
          <w:spacing w:val="-2"/>
          <w:sz w:val="22"/>
        </w:rPr>
        <w:t> </w:t>
      </w:r>
      <w:r>
        <w:rPr>
          <w:sz w:val="22"/>
        </w:rPr>
        <w:t>dengan Otorita IKN juga sudah pernah, tetapi dengan kepala IKN belum pernah, hanya dengan setingkat Deputi. Dengan Kota Balik Papan juga sudah pernah membahas tentang Peraturan Pemerintah (PP) terkait dengan kewenangan Kabupaten</w:t>
      </w:r>
      <w:r>
        <w:rPr>
          <w:spacing w:val="-4"/>
          <w:sz w:val="22"/>
        </w:rPr>
        <w:t> </w:t>
      </w:r>
      <w:r>
        <w:rPr>
          <w:sz w:val="22"/>
        </w:rPr>
        <w:t>Kutai</w:t>
      </w:r>
      <w:r>
        <w:rPr>
          <w:spacing w:val="-4"/>
          <w:sz w:val="22"/>
        </w:rPr>
        <w:t> </w:t>
      </w:r>
      <w:r>
        <w:rPr>
          <w:sz w:val="22"/>
        </w:rPr>
        <w:t>Kartanegara. Tetapi</w:t>
      </w:r>
      <w:r>
        <w:rPr>
          <w:spacing w:val="-4"/>
          <w:sz w:val="22"/>
        </w:rPr>
        <w:t> </w:t>
      </w:r>
      <w:r>
        <w:rPr>
          <w:sz w:val="22"/>
        </w:rPr>
        <w:t>tidak pernah membahas tentang pembangunan infrastruktur dan kontribusinya kepada Kabupaten Kutai Kartanegara.”</w:t>
      </w:r>
    </w:p>
    <w:p>
      <w:pPr>
        <w:spacing w:after="0"/>
        <w:jc w:val="both"/>
        <w:rPr>
          <w:sz w:val="22"/>
        </w:rPr>
        <w:sectPr>
          <w:pgSz w:w="11910" w:h="16840"/>
          <w:pgMar w:header="0" w:footer="1186" w:top="1580" w:bottom="1380" w:left="1700" w:right="992"/>
        </w:sectPr>
      </w:pPr>
    </w:p>
    <w:p>
      <w:pPr>
        <w:pStyle w:val="BodyText"/>
        <w:spacing w:line="360" w:lineRule="auto" w:before="82"/>
        <w:ind w:left="1843" w:right="699"/>
      </w:pPr>
      <w:r>
        <w:rPr/>
        <w:t>Namun, diakui oleh</w:t>
      </w:r>
      <w:r>
        <w:rPr>
          <w:spacing w:val="-5"/>
        </w:rPr>
        <w:t> </w:t>
      </w:r>
      <w:r>
        <w:rPr/>
        <w:t>Kabid</w:t>
      </w:r>
      <w:r>
        <w:rPr>
          <w:spacing w:val="-6"/>
        </w:rPr>
        <w:t> </w:t>
      </w:r>
      <w:r>
        <w:rPr/>
        <w:t>Pemerintahan</w:t>
      </w:r>
      <w:r>
        <w:rPr>
          <w:spacing w:val="-5"/>
        </w:rPr>
        <w:t> </w:t>
      </w:r>
      <w:r>
        <w:rPr/>
        <w:t>Desa,</w:t>
      </w:r>
      <w:r>
        <w:rPr>
          <w:spacing w:val="-4"/>
        </w:rPr>
        <w:t> </w:t>
      </w:r>
      <w:r>
        <w:rPr/>
        <w:t>Poino</w:t>
      </w:r>
      <w:r>
        <w:rPr>
          <w:spacing w:val="-5"/>
        </w:rPr>
        <w:t> </w:t>
      </w:r>
      <w:r>
        <w:rPr/>
        <w:t>dan</w:t>
      </w:r>
      <w:r>
        <w:rPr>
          <w:spacing w:val="-5"/>
        </w:rPr>
        <w:t> </w:t>
      </w:r>
      <w:r>
        <w:rPr/>
        <w:t>Kadis Bapenas</w:t>
      </w:r>
      <w:r>
        <w:rPr>
          <w:spacing w:val="-17"/>
        </w:rPr>
        <w:t> </w:t>
      </w:r>
      <w:r>
        <w:rPr/>
        <w:t>PMD,</w:t>
      </w:r>
      <w:r>
        <w:rPr>
          <w:spacing w:val="-16"/>
        </w:rPr>
        <w:t> </w:t>
      </w:r>
      <w:r>
        <w:rPr/>
        <w:t>Ariyanto</w:t>
      </w:r>
      <w:r>
        <w:rPr>
          <w:spacing w:val="-17"/>
        </w:rPr>
        <w:t> </w:t>
      </w:r>
      <w:r>
        <w:rPr/>
        <w:t>(Wawancara</w:t>
      </w:r>
      <w:r>
        <w:rPr>
          <w:spacing w:val="-16"/>
        </w:rPr>
        <w:t> </w:t>
      </w:r>
      <w:r>
        <w:rPr/>
        <w:t>23</w:t>
      </w:r>
      <w:r>
        <w:rPr>
          <w:spacing w:val="-17"/>
        </w:rPr>
        <w:t> </w:t>
      </w:r>
      <w:r>
        <w:rPr/>
        <w:t>Oktober</w:t>
      </w:r>
      <w:r>
        <w:rPr>
          <w:spacing w:val="-16"/>
        </w:rPr>
        <w:t> </w:t>
      </w:r>
      <w:r>
        <w:rPr/>
        <w:t>2023),</w:t>
      </w:r>
      <w:r>
        <w:rPr>
          <w:spacing w:val="-17"/>
        </w:rPr>
        <w:t> </w:t>
      </w:r>
      <w:r>
        <w:rPr/>
        <w:t>bersama aparat Pemerintah Kabupaten Kutai Kartanegara, mereka pernah</w:t>
      </w:r>
      <w:r>
        <w:rPr>
          <w:spacing w:val="-6"/>
        </w:rPr>
        <w:t> </w:t>
      </w:r>
      <w:r>
        <w:rPr/>
        <w:t>diundang</w:t>
      </w:r>
      <w:r>
        <w:rPr>
          <w:spacing w:val="-6"/>
        </w:rPr>
        <w:t> </w:t>
      </w:r>
      <w:r>
        <w:rPr/>
        <w:t>oleh</w:t>
      </w:r>
      <w:r>
        <w:rPr>
          <w:spacing w:val="-6"/>
        </w:rPr>
        <w:t> </w:t>
      </w:r>
      <w:r>
        <w:rPr/>
        <w:t>pihak</w:t>
      </w:r>
      <w:r>
        <w:rPr>
          <w:spacing w:val="-4"/>
        </w:rPr>
        <w:t> </w:t>
      </w:r>
      <w:r>
        <w:rPr/>
        <w:t>OIKN</w:t>
      </w:r>
      <w:r>
        <w:rPr>
          <w:spacing w:val="-3"/>
        </w:rPr>
        <w:t> </w:t>
      </w:r>
      <w:r>
        <w:rPr/>
        <w:t>pada</w:t>
      </w:r>
      <w:r>
        <w:rPr>
          <w:spacing w:val="-7"/>
        </w:rPr>
        <w:t> </w:t>
      </w:r>
      <w:r>
        <w:rPr/>
        <w:t>Bulan</w:t>
      </w:r>
      <w:r>
        <w:rPr>
          <w:spacing w:val="-2"/>
        </w:rPr>
        <w:t> </w:t>
      </w:r>
      <w:r>
        <w:rPr/>
        <w:t>September</w:t>
      </w:r>
      <w:r>
        <w:rPr>
          <w:spacing w:val="-6"/>
        </w:rPr>
        <w:t> </w:t>
      </w:r>
      <w:r>
        <w:rPr/>
        <w:t>2023 untuk menghadiri rapat di Hotel Sahid Jaya, Jakarta, dalam rangka menerima penjelasan mengenai IKN dan revisi pengaturannya dalam UU.</w:t>
      </w:r>
    </w:p>
    <w:p>
      <w:pPr>
        <w:pStyle w:val="BodyText"/>
        <w:spacing w:before="165"/>
        <w:jc w:val="left"/>
      </w:pPr>
    </w:p>
    <w:p>
      <w:pPr>
        <w:pStyle w:val="BodyText"/>
        <w:spacing w:line="360" w:lineRule="auto"/>
        <w:ind w:left="1843" w:right="701"/>
      </w:pPr>
      <w:r>
        <w:rPr/>
        <w:t>Demikian pula diakui Kepala Desa Loa Duri Ilir, Fakhri Arsyad (wawancara</w:t>
      </w:r>
      <w:r>
        <w:rPr>
          <w:spacing w:val="-1"/>
        </w:rPr>
        <w:t> </w:t>
      </w:r>
      <w:r>
        <w:rPr/>
        <w:t>tanggal 23 Oktober 2023), mereka</w:t>
      </w:r>
      <w:r>
        <w:rPr>
          <w:spacing w:val="-1"/>
        </w:rPr>
        <w:t> </w:t>
      </w:r>
      <w:r>
        <w:rPr/>
        <w:t>diundang</w:t>
      </w:r>
      <w:r>
        <w:rPr>
          <w:spacing w:val="-1"/>
        </w:rPr>
        <w:t> </w:t>
      </w:r>
      <w:r>
        <w:rPr/>
        <w:t>OIKN ke Balikpapan untuk memperoleh penjelasan mengenai batas- batas wilayah IKN.</w:t>
      </w:r>
    </w:p>
    <w:p>
      <w:pPr>
        <w:pStyle w:val="BodyText"/>
        <w:spacing w:before="157"/>
        <w:jc w:val="left"/>
      </w:pPr>
    </w:p>
    <w:p>
      <w:pPr>
        <w:pStyle w:val="BodyText"/>
        <w:spacing w:line="360" w:lineRule="auto"/>
        <w:ind w:left="1843" w:right="700"/>
      </w:pPr>
      <w:r>
        <w:rPr/>
        <w:t>Sekda Kutai Kartanegara berharap ada dampak positif dari hadirnya</w:t>
      </w:r>
      <w:r>
        <w:rPr>
          <w:spacing w:val="-17"/>
        </w:rPr>
        <w:t> </w:t>
      </w:r>
      <w:r>
        <w:rPr/>
        <w:t>IKN</w:t>
      </w:r>
      <w:r>
        <w:rPr>
          <w:spacing w:val="-16"/>
        </w:rPr>
        <w:t> </w:t>
      </w:r>
      <w:r>
        <w:rPr/>
        <w:t>di</w:t>
      </w:r>
      <w:r>
        <w:rPr>
          <w:spacing w:val="-17"/>
        </w:rPr>
        <w:t> </w:t>
      </w:r>
      <w:r>
        <w:rPr/>
        <w:t>Kutai</w:t>
      </w:r>
      <w:r>
        <w:rPr>
          <w:spacing w:val="-16"/>
        </w:rPr>
        <w:t> </w:t>
      </w:r>
      <w:r>
        <w:rPr/>
        <w:t>Kartanegara.</w:t>
      </w:r>
      <w:r>
        <w:rPr>
          <w:spacing w:val="-17"/>
        </w:rPr>
        <w:t> </w:t>
      </w:r>
      <w:r>
        <w:rPr/>
        <w:t>Hal</w:t>
      </w:r>
      <w:r>
        <w:rPr>
          <w:spacing w:val="-16"/>
        </w:rPr>
        <w:t> </w:t>
      </w:r>
      <w:r>
        <w:rPr/>
        <w:t>senada</w:t>
      </w:r>
      <w:r>
        <w:rPr>
          <w:spacing w:val="-17"/>
        </w:rPr>
        <w:t> </w:t>
      </w:r>
      <w:r>
        <w:rPr/>
        <w:t>juga</w:t>
      </w:r>
      <w:r>
        <w:rPr>
          <w:spacing w:val="-16"/>
        </w:rPr>
        <w:t> </w:t>
      </w:r>
      <w:r>
        <w:rPr/>
        <w:t>disampaikan oleh Kepala Dinas PUPR (Wawancara 23 Oktober 2023). Beliau berharap ada komunikasi yang dibangun oleh OIKN kepada Pemerintah</w:t>
      </w:r>
      <w:r>
        <w:rPr>
          <w:spacing w:val="-15"/>
        </w:rPr>
        <w:t> </w:t>
      </w:r>
      <w:r>
        <w:rPr/>
        <w:t>Kabupaten</w:t>
      </w:r>
      <w:r>
        <w:rPr>
          <w:spacing w:val="-11"/>
        </w:rPr>
        <w:t> </w:t>
      </w:r>
      <w:r>
        <w:rPr/>
        <w:t>Kutai</w:t>
      </w:r>
      <w:r>
        <w:rPr>
          <w:spacing w:val="-10"/>
        </w:rPr>
        <w:t> </w:t>
      </w:r>
      <w:r>
        <w:rPr/>
        <w:t>Kartanegara.</w:t>
      </w:r>
      <w:r>
        <w:rPr>
          <w:spacing w:val="-9"/>
        </w:rPr>
        <w:t> </w:t>
      </w:r>
      <w:r>
        <w:rPr/>
        <w:t>Hal</w:t>
      </w:r>
      <w:r>
        <w:rPr>
          <w:spacing w:val="-10"/>
        </w:rPr>
        <w:t> </w:t>
      </w:r>
      <w:r>
        <w:rPr/>
        <w:t>ini</w:t>
      </w:r>
      <w:r>
        <w:rPr>
          <w:spacing w:val="-15"/>
        </w:rPr>
        <w:t> </w:t>
      </w:r>
      <w:r>
        <w:rPr/>
        <w:t>penting</w:t>
      </w:r>
      <w:r>
        <w:rPr>
          <w:spacing w:val="-8"/>
        </w:rPr>
        <w:t> </w:t>
      </w:r>
      <w:r>
        <w:rPr/>
        <w:t>untuk dapat memikirkan jenis kegiatan dalam pembangunan di Kutai Kartanegara yang sejalan dengan Pembangunan IKN.</w:t>
      </w:r>
    </w:p>
    <w:p>
      <w:pPr>
        <w:spacing w:before="2"/>
        <w:ind w:left="2328" w:right="691" w:firstLine="0"/>
        <w:jc w:val="both"/>
        <w:rPr>
          <w:sz w:val="22"/>
        </w:rPr>
      </w:pPr>
      <w:r>
        <w:rPr>
          <w:sz w:val="22"/>
        </w:rPr>
        <w:t>“Tidak ada komunikasi yang intensif antara IKN dengan wilayah mitra terkait dengan pembangunan infrastruktur. Namun demikian terkait dengan Rencana Pembangunan Kabupaten Kutai Kartanegara telah terjalin dengan Kementerian PUPR dan Kementerian PPN/Kepala Bappenas.”</w:t>
      </w:r>
    </w:p>
    <w:p>
      <w:pPr>
        <w:pStyle w:val="BodyText"/>
        <w:spacing w:before="186"/>
        <w:jc w:val="left"/>
        <w:rPr>
          <w:sz w:val="22"/>
        </w:rPr>
      </w:pPr>
    </w:p>
    <w:p>
      <w:pPr>
        <w:pStyle w:val="BodyText"/>
        <w:spacing w:line="360" w:lineRule="auto"/>
        <w:ind w:left="1843" w:right="705"/>
      </w:pPr>
      <w:r>
        <w:rPr/>
        <w:t>Sebagai contoh, Pemerintah Kabupaten Kutai Kartanegara merasa perlu ada pembukaan akses jalur transportasi Kawasan Utara dari Tenggarong – Jonggon – IKN. Dengan dibukanya jalur</w:t>
      </w:r>
      <w:r>
        <w:rPr>
          <w:spacing w:val="40"/>
        </w:rPr>
        <w:t> </w:t>
      </w:r>
      <w:r>
        <w:rPr/>
        <w:t>tersebut</w:t>
      </w:r>
      <w:r>
        <w:rPr>
          <w:spacing w:val="40"/>
        </w:rPr>
        <w:t> </w:t>
      </w:r>
      <w:r>
        <w:rPr/>
        <w:t>diharapkan</w:t>
      </w:r>
      <w:r>
        <w:rPr>
          <w:spacing w:val="40"/>
        </w:rPr>
        <w:t> </w:t>
      </w:r>
      <w:r>
        <w:rPr/>
        <w:t>jarak</w:t>
      </w:r>
      <w:r>
        <w:rPr>
          <w:spacing w:val="40"/>
        </w:rPr>
        <w:t> </w:t>
      </w:r>
      <w:r>
        <w:rPr/>
        <w:t>tempuh</w:t>
      </w:r>
      <w:r>
        <w:rPr>
          <w:spacing w:val="40"/>
        </w:rPr>
        <w:t> </w:t>
      </w:r>
      <w:r>
        <w:rPr/>
        <w:t>ke</w:t>
      </w:r>
      <w:r>
        <w:rPr>
          <w:spacing w:val="40"/>
        </w:rPr>
        <w:t> </w:t>
      </w:r>
      <w:r>
        <w:rPr/>
        <w:t>IKN</w:t>
      </w:r>
      <w:r>
        <w:rPr>
          <w:spacing w:val="40"/>
        </w:rPr>
        <w:t> </w:t>
      </w:r>
      <w:r>
        <w:rPr/>
        <w:t>dapat</w:t>
      </w:r>
      <w:r>
        <w:rPr>
          <w:spacing w:val="40"/>
        </w:rPr>
        <w:t> </w:t>
      </w:r>
      <w:r>
        <w:rPr/>
        <w:t>lebih</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99"/>
      </w:pPr>
      <w:r>
        <w:rPr/>
        <w:t>cepat. Hal ini juga akan dapat membuka akses jalur di wilayah Kutai Timur, Bontang, dan lain-lain. Sebagai gambaran, Kepala Desa Jonggon menceritakan bahwa Desa Jonggon selama ini terisolasi dari akses jalan, padahal jarak Desa Jonggon ke IKN hanya 72km (Wawancara dengan Kepala Desa Jonggon, 26 Oktober 2023). Hal ini yang nantinya diharapkan akan menciptakan</w:t>
      </w:r>
      <w:r>
        <w:rPr>
          <w:spacing w:val="-11"/>
        </w:rPr>
        <w:t> </w:t>
      </w:r>
      <w:r>
        <w:rPr>
          <w:i/>
        </w:rPr>
        <w:t>multiplier</w:t>
      </w:r>
      <w:r>
        <w:rPr>
          <w:i/>
          <w:spacing w:val="-9"/>
        </w:rPr>
        <w:t> </w:t>
      </w:r>
      <w:r>
        <w:rPr>
          <w:i/>
        </w:rPr>
        <w:t>effect</w:t>
      </w:r>
      <w:r>
        <w:rPr>
          <w:i/>
          <w:spacing w:val="-6"/>
        </w:rPr>
        <w:t> </w:t>
      </w:r>
      <w:r>
        <w:rPr/>
        <w:t>dari</w:t>
      </w:r>
      <w:r>
        <w:rPr>
          <w:spacing w:val="-11"/>
        </w:rPr>
        <w:t> </w:t>
      </w:r>
      <w:r>
        <w:rPr/>
        <w:t>Pembangunan</w:t>
      </w:r>
      <w:r>
        <w:rPr>
          <w:spacing w:val="-11"/>
        </w:rPr>
        <w:t> </w:t>
      </w:r>
      <w:r>
        <w:rPr/>
        <w:t>IKN</w:t>
      </w:r>
      <w:r>
        <w:rPr>
          <w:spacing w:val="-8"/>
        </w:rPr>
        <w:t> </w:t>
      </w:r>
      <w:r>
        <w:rPr/>
        <w:t>bagi</w:t>
      </w:r>
      <w:r>
        <w:rPr>
          <w:spacing w:val="-11"/>
        </w:rPr>
        <w:t> </w:t>
      </w:r>
      <w:r>
        <w:rPr/>
        <w:t>Kutai Kartanegara. Kepala Desa Jonggon menyampaikan pihaknya pernah diundang oleh Badan Pertanahan Provinsi di Kutai Kartanegara. Pertemuan itu dihadiri oleh salah satu Direktur OIKN yang membicarakan masalah peralihan sertifikasi tanah hutan produksi HPL. Sementara, Kepala Desa Sungai Payang menyatakan bahwa tidak pernah ada komunikasi secara langsung</w:t>
      </w:r>
      <w:r>
        <w:rPr>
          <w:spacing w:val="-9"/>
        </w:rPr>
        <w:t> </w:t>
      </w:r>
      <w:r>
        <w:rPr/>
        <w:t>antara</w:t>
      </w:r>
      <w:r>
        <w:rPr>
          <w:spacing w:val="-10"/>
        </w:rPr>
        <w:t> </w:t>
      </w:r>
      <w:r>
        <w:rPr/>
        <w:t>Masyarakat</w:t>
      </w:r>
      <w:r>
        <w:rPr>
          <w:spacing w:val="-6"/>
        </w:rPr>
        <w:t> </w:t>
      </w:r>
      <w:r>
        <w:rPr/>
        <w:t>Desa</w:t>
      </w:r>
      <w:r>
        <w:rPr>
          <w:spacing w:val="-10"/>
        </w:rPr>
        <w:t> </w:t>
      </w:r>
      <w:r>
        <w:rPr/>
        <w:t>Sungai</w:t>
      </w:r>
      <w:r>
        <w:rPr>
          <w:spacing w:val="-8"/>
        </w:rPr>
        <w:t> </w:t>
      </w:r>
      <w:r>
        <w:rPr/>
        <w:t>Payang</w:t>
      </w:r>
      <w:r>
        <w:rPr>
          <w:spacing w:val="-9"/>
        </w:rPr>
        <w:t> </w:t>
      </w:r>
      <w:r>
        <w:rPr/>
        <w:t>dengan</w:t>
      </w:r>
      <w:r>
        <w:rPr>
          <w:spacing w:val="-8"/>
        </w:rPr>
        <w:t> </w:t>
      </w:r>
      <w:r>
        <w:rPr/>
        <w:t>pihak OIKN (Wawancara dengan Kepala Desa Sungai Payang, 26 Oktober 2023). Demikian pula hal senada disampaikan oleh Camat Loa Kulu bahwa tidak ada komunikasi langsung antara pihak</w:t>
      </w:r>
      <w:r>
        <w:rPr>
          <w:spacing w:val="-14"/>
        </w:rPr>
        <w:t> </w:t>
      </w:r>
      <w:r>
        <w:rPr/>
        <w:t>Kecamatan</w:t>
      </w:r>
      <w:r>
        <w:rPr>
          <w:spacing w:val="-15"/>
        </w:rPr>
        <w:t> </w:t>
      </w:r>
      <w:r>
        <w:rPr/>
        <w:t>Loa</w:t>
      </w:r>
      <w:r>
        <w:rPr>
          <w:spacing w:val="-16"/>
        </w:rPr>
        <w:t> </w:t>
      </w:r>
      <w:r>
        <w:rPr/>
        <w:t>Kulu</w:t>
      </w:r>
      <w:r>
        <w:rPr>
          <w:spacing w:val="-17"/>
        </w:rPr>
        <w:t> </w:t>
      </w:r>
      <w:r>
        <w:rPr/>
        <w:t>dengan</w:t>
      </w:r>
      <w:r>
        <w:rPr>
          <w:spacing w:val="-15"/>
        </w:rPr>
        <w:t> </w:t>
      </w:r>
      <w:r>
        <w:rPr/>
        <w:t>Otorita</w:t>
      </w:r>
      <w:r>
        <w:rPr>
          <w:spacing w:val="-17"/>
        </w:rPr>
        <w:t> </w:t>
      </w:r>
      <w:r>
        <w:rPr/>
        <w:t>IKN.</w:t>
      </w:r>
      <w:r>
        <w:rPr>
          <w:spacing w:val="-13"/>
        </w:rPr>
        <w:t> </w:t>
      </w:r>
      <w:r>
        <w:rPr/>
        <w:t>Menurutnya,</w:t>
      </w:r>
      <w:r>
        <w:rPr>
          <w:spacing w:val="-13"/>
        </w:rPr>
        <w:t> </w:t>
      </w:r>
      <w:r>
        <w:rPr/>
        <w:t>hal ini bisa terjadi karena wilayah yang diambil oleh IKN adalah hutan HTI yang terletak di Desa Jonggon dan Desa Sungai Payang</w:t>
      </w:r>
      <w:r>
        <w:rPr>
          <w:spacing w:val="-16"/>
        </w:rPr>
        <w:t> </w:t>
      </w:r>
      <w:r>
        <w:rPr/>
        <w:t>(Wawancara</w:t>
      </w:r>
      <w:r>
        <w:rPr>
          <w:spacing w:val="-15"/>
        </w:rPr>
        <w:t> </w:t>
      </w:r>
      <w:r>
        <w:rPr/>
        <w:t>dengan</w:t>
      </w:r>
      <w:r>
        <w:rPr>
          <w:spacing w:val="-15"/>
        </w:rPr>
        <w:t> </w:t>
      </w:r>
      <w:r>
        <w:rPr/>
        <w:t>Camat</w:t>
      </w:r>
      <w:r>
        <w:rPr>
          <w:spacing w:val="-9"/>
        </w:rPr>
        <w:t> </w:t>
      </w:r>
      <w:r>
        <w:rPr/>
        <w:t>Loa</w:t>
      </w:r>
      <w:r>
        <w:rPr>
          <w:spacing w:val="-16"/>
        </w:rPr>
        <w:t> </w:t>
      </w:r>
      <w:r>
        <w:rPr/>
        <w:t>Kulu,</w:t>
      </w:r>
      <w:r>
        <w:rPr>
          <w:spacing w:val="-13"/>
        </w:rPr>
        <w:t> </w:t>
      </w:r>
      <w:r>
        <w:rPr/>
        <w:t>26</w:t>
      </w:r>
      <w:r>
        <w:rPr>
          <w:spacing w:val="-14"/>
        </w:rPr>
        <w:t> </w:t>
      </w:r>
      <w:r>
        <w:rPr/>
        <w:t>Oktober</w:t>
      </w:r>
      <w:r>
        <w:rPr>
          <w:spacing w:val="-11"/>
        </w:rPr>
        <w:t> </w:t>
      </w:r>
      <w:r>
        <w:rPr/>
        <w:t>2023).</w:t>
      </w:r>
    </w:p>
    <w:p>
      <w:pPr>
        <w:pStyle w:val="BodyText"/>
        <w:spacing w:before="164"/>
        <w:jc w:val="left"/>
      </w:pPr>
    </w:p>
    <w:p>
      <w:pPr>
        <w:pStyle w:val="BodyText"/>
        <w:spacing w:line="360" w:lineRule="auto"/>
        <w:ind w:left="1843" w:right="701"/>
      </w:pPr>
      <w:r>
        <w:rPr/>
        <w:t>Selanjutnya, harus dijawab, bagaimanakah komunikasi politik antara Pemerintah Pusat, OIKN dengan Pemerintah Kabupaten Kutai Kartanegara dan DPRD, serta Pemerintah Provinsi Kalimantan Timur harus dibangun, agar perencanaan pembangunan dan pelaksanaan dan pengawasannya dapat berlangsung</w:t>
      </w:r>
      <w:r>
        <w:rPr>
          <w:spacing w:val="-17"/>
        </w:rPr>
        <w:t> </w:t>
      </w:r>
      <w:r>
        <w:rPr/>
        <w:t>secara</w:t>
      </w:r>
      <w:r>
        <w:rPr>
          <w:spacing w:val="-16"/>
        </w:rPr>
        <w:t> </w:t>
      </w:r>
      <w:r>
        <w:rPr/>
        <w:t>efektif.</w:t>
      </w:r>
      <w:r>
        <w:rPr>
          <w:spacing w:val="9"/>
        </w:rPr>
        <w:t> </w:t>
      </w:r>
      <w:r>
        <w:rPr/>
        <w:t>Sampai</w:t>
      </w:r>
      <w:r>
        <w:rPr>
          <w:spacing w:val="-16"/>
        </w:rPr>
        <w:t> </w:t>
      </w:r>
      <w:r>
        <w:rPr/>
        <w:t>saat</w:t>
      </w:r>
      <w:r>
        <w:rPr>
          <w:spacing w:val="-17"/>
        </w:rPr>
        <w:t> </w:t>
      </w:r>
      <w:r>
        <w:rPr/>
        <w:t>penelitian</w:t>
      </w:r>
      <w:r>
        <w:rPr>
          <w:spacing w:val="-16"/>
        </w:rPr>
        <w:t> </w:t>
      </w:r>
      <w:r>
        <w:rPr/>
        <w:t>ini</w:t>
      </w:r>
      <w:r>
        <w:rPr>
          <w:spacing w:val="-17"/>
        </w:rPr>
        <w:t> </w:t>
      </w:r>
      <w:r>
        <w:rPr/>
        <w:t>dilakukan,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99"/>
      </w:pPr>
      <w:r>
        <w:rPr/>
        <w:t>ada kesan yang diperoleh dari para informan di daerah bahwa OIKN kurang memberikan ruang komunikasi politik kepada Bupati Kutai Kartanegara, DPRD Kabupaten Kutai Kartanegara, dan Sekretaris Daerah Kutai Kartanegara. Menurut informasi, OIKN hanya melakukan komunikasi dengan para camat dan kepala desa yang wilayahnya masuk ke dalam wilayah IKN. Sebagaimana diakui oleh Kepala Desa Sungai Payang, dimana pihak desa telah beberapa kali melakukan pertemuan dengan pihak IKN. Namun, sosialisasi IKN kepada masyarakat di Desa Sungai Payang terkait IKN diakui tidak ada.</w:t>
      </w:r>
    </w:p>
    <w:p>
      <w:pPr>
        <w:pStyle w:val="BodyText"/>
        <w:spacing w:before="164"/>
        <w:jc w:val="left"/>
      </w:pPr>
    </w:p>
    <w:p>
      <w:pPr>
        <w:pStyle w:val="Heading2"/>
        <w:numPr>
          <w:ilvl w:val="3"/>
          <w:numId w:val="32"/>
        </w:numPr>
        <w:tabs>
          <w:tab w:pos="1842" w:val="left" w:leader="none"/>
        </w:tabs>
        <w:spacing w:line="240" w:lineRule="auto" w:before="0" w:after="0"/>
        <w:ind w:left="1842" w:right="0" w:hanging="359"/>
        <w:jc w:val="both"/>
      </w:pPr>
      <w:r>
        <w:rPr/>
        <w:t>Keberadaan</w:t>
      </w:r>
      <w:r>
        <w:rPr>
          <w:spacing w:val="-10"/>
        </w:rPr>
        <w:t> </w:t>
      </w:r>
      <w:r>
        <w:rPr/>
        <w:t>DPRD</w:t>
      </w:r>
      <w:r>
        <w:rPr>
          <w:spacing w:val="-3"/>
        </w:rPr>
        <w:t> </w:t>
      </w:r>
      <w:r>
        <w:rPr/>
        <w:t>Kutai</w:t>
      </w:r>
      <w:r>
        <w:rPr>
          <w:spacing w:val="-10"/>
        </w:rPr>
        <w:t> </w:t>
      </w:r>
      <w:r>
        <w:rPr>
          <w:spacing w:val="-2"/>
        </w:rPr>
        <w:t>Kartanegara</w:t>
      </w:r>
    </w:p>
    <w:p>
      <w:pPr>
        <w:pStyle w:val="BodyText"/>
        <w:spacing w:line="360" w:lineRule="auto" w:before="161"/>
        <w:ind w:left="1843" w:right="703"/>
      </w:pPr>
      <w:r>
        <w:rPr/>
        <w:t>Hadirnya IKN yang mengambil sebagian wilayah Kabupaten Kutai Kartanegara telah membawa dampak politik, baik yang sudah</w:t>
      </w:r>
      <w:r>
        <w:rPr>
          <w:spacing w:val="-3"/>
        </w:rPr>
        <w:t> </w:t>
      </w:r>
      <w:r>
        <w:rPr/>
        <w:t>terlihat</w:t>
      </w:r>
      <w:r>
        <w:rPr>
          <w:spacing w:val="-1"/>
        </w:rPr>
        <w:t> </w:t>
      </w:r>
      <w:r>
        <w:rPr/>
        <w:t>maupun</w:t>
      </w:r>
      <w:r>
        <w:rPr>
          <w:spacing w:val="-3"/>
        </w:rPr>
        <w:t> </w:t>
      </w:r>
      <w:r>
        <w:rPr/>
        <w:t>yang</w:t>
      </w:r>
      <w:r>
        <w:rPr>
          <w:spacing w:val="-1"/>
        </w:rPr>
        <w:t> </w:t>
      </w:r>
      <w:r>
        <w:rPr/>
        <w:t>dikhawatirkan</w:t>
      </w:r>
      <w:r>
        <w:rPr>
          <w:spacing w:val="-3"/>
        </w:rPr>
        <w:t> </w:t>
      </w:r>
      <w:r>
        <w:rPr/>
        <w:t>akan</w:t>
      </w:r>
      <w:r>
        <w:rPr>
          <w:spacing w:val="-3"/>
        </w:rPr>
        <w:t> </w:t>
      </w:r>
      <w:r>
        <w:rPr/>
        <w:t>terjadi.</w:t>
      </w:r>
      <w:r>
        <w:rPr>
          <w:spacing w:val="-1"/>
        </w:rPr>
        <w:t> </w:t>
      </w:r>
      <w:r>
        <w:rPr/>
        <w:t>Terkait keberadaan tidak adanya lembaga perwakilan rakyat daerah (DPRD)</w:t>
      </w:r>
      <w:r>
        <w:rPr>
          <w:spacing w:val="-16"/>
        </w:rPr>
        <w:t> </w:t>
      </w:r>
      <w:r>
        <w:rPr/>
        <w:t>di</w:t>
      </w:r>
      <w:r>
        <w:rPr>
          <w:spacing w:val="-11"/>
        </w:rPr>
        <w:t> </w:t>
      </w:r>
      <w:r>
        <w:rPr/>
        <w:t>Otorita</w:t>
      </w:r>
      <w:r>
        <w:rPr>
          <w:spacing w:val="-13"/>
        </w:rPr>
        <w:t> </w:t>
      </w:r>
      <w:r>
        <w:rPr/>
        <w:t>IKN</w:t>
      </w:r>
      <w:r>
        <w:rPr>
          <w:spacing w:val="-12"/>
        </w:rPr>
        <w:t> </w:t>
      </w:r>
      <w:r>
        <w:rPr/>
        <w:t>(OIKN),</w:t>
      </w:r>
      <w:r>
        <w:rPr>
          <w:spacing w:val="-10"/>
        </w:rPr>
        <w:t> </w:t>
      </w:r>
      <w:r>
        <w:rPr/>
        <w:t>telah</w:t>
      </w:r>
      <w:r>
        <w:rPr>
          <w:spacing w:val="-16"/>
        </w:rPr>
        <w:t> </w:t>
      </w:r>
      <w:r>
        <w:rPr/>
        <w:t>menimbulkan</w:t>
      </w:r>
      <w:r>
        <w:rPr>
          <w:spacing w:val="-11"/>
        </w:rPr>
        <w:t> </w:t>
      </w:r>
      <w:r>
        <w:rPr/>
        <w:t>kontroversi</w:t>
      </w:r>
      <w:r>
        <w:rPr>
          <w:spacing w:val="-11"/>
        </w:rPr>
        <w:t> </w:t>
      </w:r>
      <w:r>
        <w:rPr/>
        <w:t>di daerah.</w:t>
      </w:r>
      <w:r>
        <w:rPr>
          <w:spacing w:val="-4"/>
        </w:rPr>
        <w:t> </w:t>
      </w:r>
      <w:r>
        <w:rPr/>
        <w:t>Hal</w:t>
      </w:r>
      <w:r>
        <w:rPr>
          <w:spacing w:val="-5"/>
        </w:rPr>
        <w:t> </w:t>
      </w:r>
      <w:r>
        <w:rPr/>
        <w:t>ini</w:t>
      </w:r>
      <w:r>
        <w:rPr>
          <w:spacing w:val="-5"/>
        </w:rPr>
        <w:t> </w:t>
      </w:r>
      <w:r>
        <w:rPr/>
        <w:t>jelas</w:t>
      </w:r>
      <w:r>
        <w:rPr>
          <w:spacing w:val="-5"/>
        </w:rPr>
        <w:t> </w:t>
      </w:r>
      <w:r>
        <w:rPr/>
        <w:t>akan</w:t>
      </w:r>
      <w:r>
        <w:rPr>
          <w:spacing w:val="-6"/>
        </w:rPr>
        <w:t> </w:t>
      </w:r>
      <w:r>
        <w:rPr/>
        <w:t>kontraptoduktif</w:t>
      </w:r>
      <w:r>
        <w:rPr>
          <w:spacing w:val="-3"/>
        </w:rPr>
        <w:t> </w:t>
      </w:r>
      <w:r>
        <w:rPr/>
        <w:t>dengan</w:t>
      </w:r>
      <w:r>
        <w:rPr>
          <w:spacing w:val="-6"/>
        </w:rPr>
        <w:t> </w:t>
      </w:r>
      <w:r>
        <w:rPr/>
        <w:t>sistem</w:t>
      </w:r>
      <w:r>
        <w:rPr>
          <w:spacing w:val="-5"/>
        </w:rPr>
        <w:t> </w:t>
      </w:r>
      <w:r>
        <w:rPr/>
        <w:t>politik demokratis akibat absennya kontrol rakyat terhadap OIKN.</w:t>
      </w:r>
    </w:p>
    <w:p>
      <w:pPr>
        <w:pStyle w:val="BodyText"/>
        <w:spacing w:before="161"/>
        <w:jc w:val="left"/>
      </w:pPr>
    </w:p>
    <w:p>
      <w:pPr>
        <w:pStyle w:val="BodyText"/>
        <w:spacing w:line="360" w:lineRule="auto"/>
        <w:ind w:left="1843" w:right="704"/>
      </w:pPr>
      <w:r>
        <w:rPr/>
        <w:t>Berbeda dengan pembentukan daerah otonom baru lainnya, yang</w:t>
      </w:r>
      <w:r>
        <w:rPr>
          <w:spacing w:val="-2"/>
        </w:rPr>
        <w:t> </w:t>
      </w:r>
      <w:r>
        <w:rPr/>
        <w:t>membawa</w:t>
      </w:r>
      <w:r>
        <w:rPr>
          <w:spacing w:val="-2"/>
        </w:rPr>
        <w:t> </w:t>
      </w:r>
      <w:r>
        <w:rPr/>
        <w:t>dampak positif yakni berupa</w:t>
      </w:r>
      <w:r>
        <w:rPr>
          <w:spacing w:val="-2"/>
        </w:rPr>
        <w:t> </w:t>
      </w:r>
      <w:r>
        <w:rPr/>
        <w:t>lahirnya</w:t>
      </w:r>
      <w:r>
        <w:rPr>
          <w:spacing w:val="-2"/>
        </w:rPr>
        <w:t> </w:t>
      </w:r>
      <w:r>
        <w:rPr/>
        <w:t>lembaga perwakilan rakyat daerah di daerah otonom baru itu (Treisman dalam</w:t>
      </w:r>
      <w:r>
        <w:rPr>
          <w:spacing w:val="-17"/>
        </w:rPr>
        <w:t> </w:t>
      </w:r>
      <w:r>
        <w:rPr/>
        <w:t>Prasojo,</w:t>
      </w:r>
      <w:r>
        <w:rPr>
          <w:spacing w:val="-16"/>
        </w:rPr>
        <w:t> </w:t>
      </w:r>
      <w:r>
        <w:rPr/>
        <w:t>1999),</w:t>
      </w:r>
      <w:r>
        <w:rPr>
          <w:spacing w:val="-17"/>
        </w:rPr>
        <w:t> </w:t>
      </w:r>
      <w:r>
        <w:rPr/>
        <w:t>OIKN</w:t>
      </w:r>
      <w:r>
        <w:rPr>
          <w:spacing w:val="-16"/>
        </w:rPr>
        <w:t> </w:t>
      </w:r>
      <w:r>
        <w:rPr/>
        <w:t>sudah</w:t>
      </w:r>
      <w:r>
        <w:rPr>
          <w:spacing w:val="-17"/>
        </w:rPr>
        <w:t> </w:t>
      </w:r>
      <w:r>
        <w:rPr/>
        <w:t>jelas</w:t>
      </w:r>
      <w:r>
        <w:rPr>
          <w:spacing w:val="-16"/>
        </w:rPr>
        <w:t> </w:t>
      </w:r>
      <w:r>
        <w:rPr/>
        <w:t>menghilangkanlembaga DPRD dalam UU Nomor 3 Tahun 2022. Ini artinya masyarakat yang</w:t>
      </w:r>
      <w:r>
        <w:rPr>
          <w:spacing w:val="-4"/>
        </w:rPr>
        <w:t> </w:t>
      </w:r>
      <w:r>
        <w:rPr/>
        <w:t>selama</w:t>
      </w:r>
      <w:r>
        <w:rPr>
          <w:spacing w:val="-4"/>
        </w:rPr>
        <w:t> </w:t>
      </w:r>
      <w:r>
        <w:rPr/>
        <w:t>ini</w:t>
      </w:r>
      <w:r>
        <w:rPr>
          <w:spacing w:val="-2"/>
        </w:rPr>
        <w:t> </w:t>
      </w:r>
      <w:r>
        <w:rPr/>
        <w:t>tinggal</w:t>
      </w:r>
      <w:r>
        <w:rPr>
          <w:spacing w:val="-2"/>
        </w:rPr>
        <w:t> </w:t>
      </w:r>
      <w:r>
        <w:rPr/>
        <w:t>di</w:t>
      </w:r>
      <w:r>
        <w:rPr>
          <w:spacing w:val="-2"/>
        </w:rPr>
        <w:t> </w:t>
      </w:r>
      <w:r>
        <w:rPr/>
        <w:t>wilayah</w:t>
      </w:r>
      <w:r>
        <w:rPr>
          <w:spacing w:val="-3"/>
        </w:rPr>
        <w:t> </w:t>
      </w:r>
      <w:r>
        <w:rPr/>
        <w:t>Kabupaten</w:t>
      </w:r>
      <w:r>
        <w:rPr>
          <w:spacing w:val="-3"/>
        </w:rPr>
        <w:t> </w:t>
      </w:r>
      <w:r>
        <w:rPr/>
        <w:t>KutaiKartanegara lalu wilayahnya diambil oleh OIKN, diwakilkan aspirasi politiknya melalui DPR langsung, tidak lagi oleh DPRD.</w:t>
      </w:r>
    </w:p>
    <w:p>
      <w:pPr>
        <w:pStyle w:val="BodyText"/>
        <w:spacing w:after="0" w:line="360" w:lineRule="auto"/>
        <w:sectPr>
          <w:pgSz w:w="11910" w:h="16840"/>
          <w:pgMar w:header="0" w:footer="1186" w:top="1580" w:bottom="1380" w:left="1700" w:right="992"/>
        </w:sectPr>
      </w:pPr>
    </w:p>
    <w:p>
      <w:pPr>
        <w:pStyle w:val="BodyText"/>
        <w:spacing w:line="360" w:lineRule="auto" w:before="227"/>
        <w:ind w:left="1843" w:right="705"/>
      </w:pPr>
      <w:r>
        <w:rPr/>
        <w:t>Namun</w:t>
      </w:r>
      <w:r>
        <w:rPr>
          <w:spacing w:val="-17"/>
        </w:rPr>
        <w:t> </w:t>
      </w:r>
      <w:r>
        <w:rPr/>
        <w:t>demikian,</w:t>
      </w:r>
      <w:r>
        <w:rPr>
          <w:spacing w:val="-16"/>
        </w:rPr>
        <w:t> </w:t>
      </w:r>
      <w:r>
        <w:rPr/>
        <w:t>Pemilu</w:t>
      </w:r>
      <w:r>
        <w:rPr>
          <w:spacing w:val="-17"/>
        </w:rPr>
        <w:t> </w:t>
      </w:r>
      <w:r>
        <w:rPr/>
        <w:t>Legislatif</w:t>
      </w:r>
      <w:r>
        <w:rPr>
          <w:spacing w:val="-15"/>
        </w:rPr>
        <w:t> </w:t>
      </w:r>
      <w:r>
        <w:rPr/>
        <w:t>(Pileg)</w:t>
      </w:r>
      <w:r>
        <w:rPr>
          <w:spacing w:val="-16"/>
        </w:rPr>
        <w:t> </w:t>
      </w:r>
      <w:r>
        <w:rPr/>
        <w:t>2024</w:t>
      </w:r>
      <w:r>
        <w:rPr>
          <w:spacing w:val="-16"/>
        </w:rPr>
        <w:t> </w:t>
      </w:r>
      <w:r>
        <w:rPr/>
        <w:t>untuk</w:t>
      </w:r>
      <w:r>
        <w:rPr>
          <w:spacing w:val="-16"/>
        </w:rPr>
        <w:t> </w:t>
      </w:r>
      <w:r>
        <w:rPr/>
        <w:t>pemilihan anggota DPRD Kutai Kartanegara tetap akan dilakukan, sehingga</w:t>
      </w:r>
      <w:r>
        <w:rPr>
          <w:spacing w:val="-2"/>
        </w:rPr>
        <w:t> </w:t>
      </w:r>
      <w:r>
        <w:rPr/>
        <w:t>eksistensi DPRD tidak berubah. Yang</w:t>
      </w:r>
      <w:r>
        <w:rPr>
          <w:spacing w:val="-2"/>
        </w:rPr>
        <w:t> </w:t>
      </w:r>
      <w:r>
        <w:rPr/>
        <w:t>berubah</w:t>
      </w:r>
      <w:r>
        <w:rPr>
          <w:spacing w:val="-1"/>
        </w:rPr>
        <w:t> </w:t>
      </w:r>
      <w:r>
        <w:rPr/>
        <w:t>adalah jumlah daerah pemilihan (Dapil) yang akan mengalami penyesuaian, diturunkan, tidak sebanyak periode sebelumnya.</w:t>
      </w:r>
    </w:p>
    <w:p>
      <w:pPr>
        <w:pStyle w:val="BodyText"/>
        <w:spacing w:before="158"/>
        <w:jc w:val="left"/>
      </w:pPr>
    </w:p>
    <w:p>
      <w:pPr>
        <w:pStyle w:val="BodyText"/>
        <w:spacing w:line="360" w:lineRule="auto"/>
        <w:ind w:left="1843" w:right="699"/>
      </w:pPr>
      <w:r>
        <w:rPr/>
        <w:t>Secara</w:t>
      </w:r>
      <w:r>
        <w:rPr>
          <w:spacing w:val="-3"/>
        </w:rPr>
        <w:t> </w:t>
      </w:r>
      <w:r>
        <w:rPr/>
        <w:t>politik,</w:t>
      </w:r>
      <w:r>
        <w:rPr>
          <w:spacing w:val="-4"/>
        </w:rPr>
        <w:t> </w:t>
      </w:r>
      <w:r>
        <w:rPr/>
        <w:t>apabila</w:t>
      </w:r>
      <w:r>
        <w:rPr>
          <w:spacing w:val="-8"/>
        </w:rPr>
        <w:t> </w:t>
      </w:r>
      <w:r>
        <w:rPr/>
        <w:t>OIKN</w:t>
      </w:r>
      <w:r>
        <w:rPr>
          <w:spacing w:val="-3"/>
        </w:rPr>
        <w:t> </w:t>
      </w:r>
      <w:r>
        <w:rPr/>
        <w:t>sebuah</w:t>
      </w:r>
      <w:r>
        <w:rPr>
          <w:spacing w:val="-7"/>
        </w:rPr>
        <w:t> </w:t>
      </w:r>
      <w:r>
        <w:rPr/>
        <w:t>pemerintahan</w:t>
      </w:r>
      <w:r>
        <w:rPr>
          <w:spacing w:val="-6"/>
        </w:rPr>
        <w:t> </w:t>
      </w:r>
      <w:r>
        <w:rPr/>
        <w:t>daerah</w:t>
      </w:r>
      <w:r>
        <w:rPr>
          <w:spacing w:val="-7"/>
        </w:rPr>
        <w:t> </w:t>
      </w:r>
      <w:r>
        <w:rPr/>
        <w:t>yang bersifat khusus, sebagaimana dimuat dalam Pasal 6 ayat (6), maka menurut Pasal 18 ayat (3) UUD Negara RI Tahun 1945 harus memiliki DPRD yang anggotanya dipilih melalui pemilu. Oleh karena itu, logis jika ada kekhawatiran bahwa OIKN jika tidak memiliki DPRD bukan merupakan sebuah pemerintahan daerah (hal ini juga disampaikan oleh beberapa informan di daerah). Akibatnya, ada kekhawatiran OIKN akan terjerumus dalam praktik tata-kelola pemerintahan yang otoriter karena absennya (institusi) pengawasan. Ini jelas akan bertentangan dengan sistem politik demokrasi, yang membutuhkan akuntabilitas</w:t>
      </w:r>
      <w:r>
        <w:rPr>
          <w:spacing w:val="-11"/>
        </w:rPr>
        <w:t> </w:t>
      </w:r>
      <w:r>
        <w:rPr/>
        <w:t>politik.</w:t>
      </w:r>
      <w:r>
        <w:rPr>
          <w:spacing w:val="-9"/>
        </w:rPr>
        <w:t> </w:t>
      </w:r>
      <w:r>
        <w:rPr/>
        <w:t>Adalah</w:t>
      </w:r>
      <w:r>
        <w:rPr>
          <w:spacing w:val="-7"/>
        </w:rPr>
        <w:t> </w:t>
      </w:r>
      <w:r>
        <w:rPr/>
        <w:t>sangat</w:t>
      </w:r>
      <w:r>
        <w:rPr>
          <w:spacing w:val="-10"/>
        </w:rPr>
        <w:t> </w:t>
      </w:r>
      <w:r>
        <w:rPr/>
        <w:t>berisiko</w:t>
      </w:r>
      <w:r>
        <w:rPr>
          <w:spacing w:val="-11"/>
        </w:rPr>
        <w:t> </w:t>
      </w:r>
      <w:r>
        <w:rPr/>
        <w:t>dengan</w:t>
      </w:r>
      <w:r>
        <w:rPr>
          <w:spacing w:val="-7"/>
        </w:rPr>
        <w:t> </w:t>
      </w:r>
      <w:r>
        <w:rPr/>
        <w:t>prinsip</w:t>
      </w:r>
      <w:r>
        <w:rPr>
          <w:spacing w:val="-13"/>
        </w:rPr>
        <w:t> </w:t>
      </w:r>
      <w:r>
        <w:rPr/>
        <w:t>tata kelola pemerintahan yang baik (</w:t>
      </w:r>
      <w:r>
        <w:rPr>
          <w:i/>
        </w:rPr>
        <w:t>proper governance</w:t>
      </w:r>
      <w:r>
        <w:rPr/>
        <w:t>), jika OIKN yang menggunakan uang rakyat di daerah tidak diawasi oleh </w:t>
      </w:r>
      <w:r>
        <w:rPr>
          <w:spacing w:val="-2"/>
        </w:rPr>
        <w:t>DPRD.</w:t>
      </w:r>
    </w:p>
    <w:p>
      <w:pPr>
        <w:pStyle w:val="BodyText"/>
        <w:spacing w:before="161"/>
        <w:jc w:val="left"/>
      </w:pPr>
    </w:p>
    <w:p>
      <w:pPr>
        <w:pStyle w:val="BodyText"/>
        <w:spacing w:line="360" w:lineRule="auto"/>
        <w:ind w:left="1843" w:right="699"/>
      </w:pPr>
      <w:r>
        <w:rPr/>
        <w:t>Namun, dalam FGD yang diselenggarakan, diperoleh informasi bahwa</w:t>
      </w:r>
      <w:r>
        <w:rPr>
          <w:spacing w:val="-7"/>
        </w:rPr>
        <w:t> </w:t>
      </w:r>
      <w:r>
        <w:rPr/>
        <w:t>berdasarkan Pasal</w:t>
      </w:r>
      <w:r>
        <w:rPr>
          <w:spacing w:val="-5"/>
        </w:rPr>
        <w:t> </w:t>
      </w:r>
      <w:r>
        <w:rPr/>
        <w:t>24</w:t>
      </w:r>
      <w:r>
        <w:rPr>
          <w:spacing w:val="-5"/>
        </w:rPr>
        <w:t> </w:t>
      </w:r>
      <w:r>
        <w:rPr/>
        <w:t>ayat</w:t>
      </w:r>
      <w:r>
        <w:rPr>
          <w:spacing w:val="-4"/>
        </w:rPr>
        <w:t> </w:t>
      </w:r>
      <w:r>
        <w:rPr/>
        <w:t>(6)</w:t>
      </w:r>
      <w:r>
        <w:rPr>
          <w:spacing w:val="-6"/>
        </w:rPr>
        <w:t> </w:t>
      </w:r>
      <w:r>
        <w:rPr/>
        <w:t>UU</w:t>
      </w:r>
      <w:r>
        <w:rPr>
          <w:spacing w:val="-7"/>
        </w:rPr>
        <w:t> </w:t>
      </w:r>
      <w:r>
        <w:rPr/>
        <w:t>Nomor</w:t>
      </w:r>
      <w:r>
        <w:rPr>
          <w:spacing w:val="-2"/>
        </w:rPr>
        <w:t> </w:t>
      </w:r>
      <w:r>
        <w:rPr/>
        <w:t>21</w:t>
      </w:r>
      <w:r>
        <w:rPr>
          <w:spacing w:val="-5"/>
        </w:rPr>
        <w:t> </w:t>
      </w:r>
      <w:r>
        <w:rPr/>
        <w:t>Tahun</w:t>
      </w:r>
      <w:r>
        <w:rPr>
          <w:spacing w:val="-6"/>
        </w:rPr>
        <w:t> </w:t>
      </w:r>
      <w:r>
        <w:rPr/>
        <w:t>2023 bahwa ada peran DPR RI dalam pemungutan pajak yang dilakukan oleh OIKN, maka ini berarti OIKN diawasi langsung oleh DPR.</w:t>
      </w:r>
      <w:r>
        <w:rPr>
          <w:spacing w:val="29"/>
        </w:rPr>
        <w:t> </w:t>
      </w:r>
      <w:r>
        <w:rPr/>
        <w:t>Lembaga DPR</w:t>
      </w:r>
      <w:r>
        <w:rPr>
          <w:spacing w:val="28"/>
        </w:rPr>
        <w:t> </w:t>
      </w:r>
      <w:r>
        <w:rPr/>
        <w:t>yang memiliki</w:t>
      </w:r>
      <w:r>
        <w:rPr>
          <w:spacing w:val="28"/>
        </w:rPr>
        <w:t> </w:t>
      </w:r>
      <w:r>
        <w:rPr/>
        <w:t>tugas</w:t>
      </w:r>
      <w:r>
        <w:rPr>
          <w:spacing w:val="28"/>
        </w:rPr>
        <w:t> </w:t>
      </w:r>
      <w:r>
        <w:rPr/>
        <w:t>dan wewenang</w:t>
      </w:r>
    </w:p>
    <w:p>
      <w:pPr>
        <w:pStyle w:val="BodyText"/>
        <w:spacing w:after="0" w:line="360" w:lineRule="auto"/>
        <w:sectPr>
          <w:pgSz w:w="11910" w:h="16840"/>
          <w:pgMar w:header="0" w:footer="1186" w:top="1920" w:bottom="1380" w:left="1700" w:right="992"/>
        </w:sectPr>
      </w:pPr>
    </w:p>
    <w:p>
      <w:pPr>
        <w:pStyle w:val="BodyText"/>
        <w:spacing w:line="360" w:lineRule="auto" w:before="82"/>
        <w:ind w:left="1843" w:right="705"/>
      </w:pPr>
      <w:r>
        <w:rPr/>
        <w:t>dalam</w:t>
      </w:r>
      <w:r>
        <w:rPr>
          <w:spacing w:val="-17"/>
        </w:rPr>
        <w:t> </w:t>
      </w:r>
      <w:r>
        <w:rPr/>
        <w:t>lingkup</w:t>
      </w:r>
      <w:r>
        <w:rPr>
          <w:spacing w:val="-16"/>
        </w:rPr>
        <w:t> </w:t>
      </w:r>
      <w:r>
        <w:rPr/>
        <w:t>nasional,</w:t>
      </w:r>
      <w:r>
        <w:rPr>
          <w:spacing w:val="-17"/>
        </w:rPr>
        <w:t> </w:t>
      </w:r>
      <w:r>
        <w:rPr/>
        <w:t>namun</w:t>
      </w:r>
      <w:r>
        <w:rPr>
          <w:spacing w:val="-16"/>
        </w:rPr>
        <w:t> </w:t>
      </w:r>
      <w:r>
        <w:rPr/>
        <w:t>harus</w:t>
      </w:r>
      <w:r>
        <w:rPr>
          <w:spacing w:val="-17"/>
        </w:rPr>
        <w:t> </w:t>
      </w:r>
      <w:r>
        <w:rPr/>
        <w:t>mengawasi</w:t>
      </w:r>
      <w:r>
        <w:rPr>
          <w:spacing w:val="-16"/>
        </w:rPr>
        <w:t> </w:t>
      </w:r>
      <w:r>
        <w:rPr/>
        <w:t>pemerintahan daerah khusus OIKN juga telah menimbulkan tanda tanya bagi politisi di daerah, apakah DPR RI akan efektif melaksanakan pengawasan terhadap OIKN?</w:t>
      </w:r>
    </w:p>
    <w:p>
      <w:pPr>
        <w:pStyle w:val="BodyText"/>
        <w:spacing w:before="161"/>
        <w:jc w:val="left"/>
      </w:pPr>
    </w:p>
    <w:p>
      <w:pPr>
        <w:pStyle w:val="BodyText"/>
        <w:spacing w:line="360" w:lineRule="auto" w:before="1"/>
        <w:ind w:left="1843" w:right="706"/>
      </w:pPr>
      <w:r>
        <w:rPr/>
        <w:t>Harus disadari, IKN itu memiliki warga yang tinggal dalam jumlah tidak sedikit, jutaan orang, bahkan bisa melampaui jumlah penduduk Jakarta,yang lebih dari 10 juta jiwa, di masa depan. Langkah antisipasi ini penting, mengingat warga IKN merupakan gabungan dari para pekerja pemerintah dan non- pemerintah yang akan bermigrasi dari pusat, serta penduduk lokal dan mereka yang akan datang kemudian untuk meniti masa</w:t>
      </w:r>
      <w:r>
        <w:rPr>
          <w:spacing w:val="-7"/>
        </w:rPr>
        <w:t> </w:t>
      </w:r>
      <w:r>
        <w:rPr/>
        <w:t>depan</w:t>
      </w:r>
      <w:r>
        <w:rPr>
          <w:spacing w:val="-6"/>
        </w:rPr>
        <w:t> </w:t>
      </w:r>
      <w:r>
        <w:rPr/>
        <w:t>di</w:t>
      </w:r>
      <w:r>
        <w:rPr>
          <w:spacing w:val="-5"/>
        </w:rPr>
        <w:t> </w:t>
      </w:r>
      <w:r>
        <w:rPr/>
        <w:t>ibukota</w:t>
      </w:r>
      <w:r>
        <w:rPr>
          <w:spacing w:val="-7"/>
        </w:rPr>
        <w:t> </w:t>
      </w:r>
      <w:r>
        <w:rPr/>
        <w:t>negara</w:t>
      </w:r>
      <w:r>
        <w:rPr>
          <w:spacing w:val="-7"/>
        </w:rPr>
        <w:t> </w:t>
      </w:r>
      <w:r>
        <w:rPr/>
        <w:t>yang</w:t>
      </w:r>
      <w:r>
        <w:rPr>
          <w:spacing w:val="-7"/>
        </w:rPr>
        <w:t> </w:t>
      </w:r>
      <w:r>
        <w:rPr/>
        <w:t>baru</w:t>
      </w:r>
      <w:r>
        <w:rPr>
          <w:spacing w:val="-6"/>
        </w:rPr>
        <w:t> </w:t>
      </w:r>
      <w:r>
        <w:rPr/>
        <w:t>ini.</w:t>
      </w:r>
      <w:r>
        <w:rPr>
          <w:spacing w:val="-4"/>
        </w:rPr>
        <w:t> </w:t>
      </w:r>
      <w:r>
        <w:rPr/>
        <w:t>Tentu</w:t>
      </w:r>
      <w:r>
        <w:rPr>
          <w:spacing w:val="-6"/>
        </w:rPr>
        <w:t> </w:t>
      </w:r>
      <w:r>
        <w:rPr/>
        <w:t>saja,</w:t>
      </w:r>
      <w:r>
        <w:rPr>
          <w:spacing w:val="-4"/>
        </w:rPr>
        <w:t> </w:t>
      </w:r>
      <w:r>
        <w:rPr/>
        <w:t>seperti warga negara di wilayah Indonesia lainnya, warga IKN juga memiliki</w:t>
      </w:r>
      <w:r>
        <w:rPr>
          <w:spacing w:val="-7"/>
        </w:rPr>
        <w:t> </w:t>
      </w:r>
      <w:r>
        <w:rPr/>
        <w:t>aspirasi</w:t>
      </w:r>
      <w:r>
        <w:rPr>
          <w:spacing w:val="-8"/>
        </w:rPr>
        <w:t> </w:t>
      </w:r>
      <w:r>
        <w:rPr/>
        <w:t>dan</w:t>
      </w:r>
      <w:r>
        <w:rPr>
          <w:spacing w:val="-9"/>
        </w:rPr>
        <w:t> </w:t>
      </w:r>
      <w:r>
        <w:rPr/>
        <w:t>kepentingan</w:t>
      </w:r>
      <w:r>
        <w:rPr>
          <w:spacing w:val="-9"/>
        </w:rPr>
        <w:t> </w:t>
      </w:r>
      <w:r>
        <w:rPr/>
        <w:t>yang</w:t>
      </w:r>
      <w:r>
        <w:rPr>
          <w:spacing w:val="-9"/>
        </w:rPr>
        <w:t> </w:t>
      </w:r>
      <w:r>
        <w:rPr/>
        <w:t>harus</w:t>
      </w:r>
      <w:r>
        <w:rPr>
          <w:spacing w:val="-3"/>
        </w:rPr>
        <w:t> </w:t>
      </w:r>
      <w:r>
        <w:rPr/>
        <w:t>diperhatikan</w:t>
      </w:r>
      <w:r>
        <w:rPr>
          <w:spacing w:val="-9"/>
        </w:rPr>
        <w:t> </w:t>
      </w:r>
      <w:r>
        <w:rPr/>
        <w:t>dan </w:t>
      </w:r>
      <w:r>
        <w:rPr>
          <w:spacing w:val="-2"/>
        </w:rPr>
        <w:t>diperjuangkan.</w:t>
      </w:r>
    </w:p>
    <w:p>
      <w:pPr>
        <w:pStyle w:val="BodyText"/>
        <w:spacing w:before="160"/>
        <w:jc w:val="left"/>
      </w:pPr>
    </w:p>
    <w:p>
      <w:pPr>
        <w:pStyle w:val="BodyText"/>
        <w:spacing w:line="360" w:lineRule="auto"/>
        <w:ind w:left="1843" w:right="704"/>
      </w:pPr>
      <w:r>
        <w:rPr/>
        <w:t>Lebih jelas lagi, warga atau penduduk IKN mempunyai hak bersuara</w:t>
      </w:r>
      <w:r>
        <w:rPr>
          <w:spacing w:val="-17"/>
        </w:rPr>
        <w:t> </w:t>
      </w:r>
      <w:r>
        <w:rPr/>
        <w:t>dan</w:t>
      </w:r>
      <w:r>
        <w:rPr>
          <w:spacing w:val="-16"/>
        </w:rPr>
        <w:t> </w:t>
      </w:r>
      <w:r>
        <w:rPr/>
        <w:t>politik</w:t>
      </w:r>
      <w:r>
        <w:rPr>
          <w:spacing w:val="-17"/>
        </w:rPr>
        <w:t> </w:t>
      </w:r>
      <w:r>
        <w:rPr/>
        <w:t>yang</w:t>
      </w:r>
      <w:r>
        <w:rPr>
          <w:spacing w:val="-16"/>
        </w:rPr>
        <w:t> </w:t>
      </w:r>
      <w:r>
        <w:rPr/>
        <w:t>sama.</w:t>
      </w:r>
      <w:r>
        <w:rPr>
          <w:spacing w:val="-17"/>
        </w:rPr>
        <w:t> </w:t>
      </w:r>
      <w:r>
        <w:rPr/>
        <w:t>Ini</w:t>
      </w:r>
      <w:r>
        <w:rPr>
          <w:spacing w:val="-16"/>
        </w:rPr>
        <w:t> </w:t>
      </w:r>
      <w:r>
        <w:rPr/>
        <w:t>artinya</w:t>
      </w:r>
      <w:r>
        <w:rPr>
          <w:spacing w:val="-17"/>
        </w:rPr>
        <w:t> </w:t>
      </w:r>
      <w:r>
        <w:rPr/>
        <w:t>mereka</w:t>
      </w:r>
      <w:r>
        <w:rPr>
          <w:spacing w:val="-16"/>
        </w:rPr>
        <w:t> </w:t>
      </w:r>
      <w:r>
        <w:rPr/>
        <w:t>juga</w:t>
      </w:r>
      <w:r>
        <w:rPr>
          <w:spacing w:val="-16"/>
        </w:rPr>
        <w:t> </w:t>
      </w:r>
      <w:r>
        <w:rPr/>
        <w:t>memiliki hak untuk memperoleh pelayanan publik dari negara, yang untuk memperjuangkan dan melindunginya dibutuhkan hak politik untuk memilih dan dipilih secara penuh. Sehingga, mereka harus memiliki para wakil mereka yang akan memperjuangkan semua itu, dengan kesempatan juga diberikan</w:t>
      </w:r>
      <w:r>
        <w:rPr>
          <w:spacing w:val="-8"/>
        </w:rPr>
        <w:t> </w:t>
      </w:r>
      <w:r>
        <w:rPr/>
        <w:t>kepada</w:t>
      </w:r>
      <w:r>
        <w:rPr>
          <w:spacing w:val="-9"/>
        </w:rPr>
        <w:t> </w:t>
      </w:r>
      <w:r>
        <w:rPr/>
        <w:t>mereka</w:t>
      </w:r>
      <w:r>
        <w:rPr>
          <w:spacing w:val="-8"/>
        </w:rPr>
        <w:t> </w:t>
      </w:r>
      <w:r>
        <w:rPr/>
        <w:t>untuk</w:t>
      </w:r>
      <w:r>
        <w:rPr>
          <w:spacing w:val="-11"/>
        </w:rPr>
        <w:t> </w:t>
      </w:r>
      <w:r>
        <w:rPr/>
        <w:t>bisa</w:t>
      </w:r>
      <w:r>
        <w:rPr>
          <w:spacing w:val="-9"/>
        </w:rPr>
        <w:t> </w:t>
      </w:r>
      <w:r>
        <w:rPr/>
        <w:t>dipilih</w:t>
      </w:r>
      <w:r>
        <w:rPr>
          <w:spacing w:val="-8"/>
        </w:rPr>
        <w:t> </w:t>
      </w:r>
      <w:r>
        <w:rPr/>
        <w:t>sebagai</w:t>
      </w:r>
      <w:r>
        <w:rPr>
          <w:spacing w:val="-7"/>
        </w:rPr>
        <w:t> </w:t>
      </w:r>
      <w:r>
        <w:rPr/>
        <w:t>orang</w:t>
      </w:r>
      <w:r>
        <w:rPr>
          <w:spacing w:val="-9"/>
        </w:rPr>
        <w:t> </w:t>
      </w:r>
      <w:r>
        <w:rPr/>
        <w:t>yang akan</w:t>
      </w:r>
      <w:r>
        <w:rPr>
          <w:spacing w:val="-9"/>
        </w:rPr>
        <w:t> </w:t>
      </w:r>
      <w:r>
        <w:rPr/>
        <w:t>memperjuangkannnya</w:t>
      </w:r>
      <w:r>
        <w:rPr>
          <w:spacing w:val="-8"/>
        </w:rPr>
        <w:t> </w:t>
      </w:r>
      <w:r>
        <w:rPr/>
        <w:t>di</w:t>
      </w:r>
      <w:r>
        <w:rPr>
          <w:spacing w:val="-8"/>
        </w:rPr>
        <w:t> </w:t>
      </w:r>
      <w:r>
        <w:rPr/>
        <w:t>garis</w:t>
      </w:r>
      <w:r>
        <w:rPr>
          <w:spacing w:val="-9"/>
        </w:rPr>
        <w:t> </w:t>
      </w:r>
      <w:r>
        <w:rPr/>
        <w:t>depan</w:t>
      </w:r>
      <w:r>
        <w:rPr>
          <w:spacing w:val="-13"/>
        </w:rPr>
        <w:t> </w:t>
      </w:r>
      <w:r>
        <w:rPr/>
        <w:t>sebagai</w:t>
      </w:r>
      <w:r>
        <w:rPr>
          <w:spacing w:val="-7"/>
        </w:rPr>
        <w:t> </w:t>
      </w:r>
      <w:r>
        <w:rPr/>
        <w:t>wakil</w:t>
      </w:r>
      <w:r>
        <w:rPr>
          <w:spacing w:val="-8"/>
        </w:rPr>
        <w:t> </w:t>
      </w:r>
      <w:r>
        <w:rPr/>
        <w:t>rakyat atau anggota parlemen di wilayah mereka tinggal. Sebagai konsekuensinya, harus ada DPRD di IKN Nusantara secara</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permanen, sebagai persyaratan mutlak negara modern yang membutuhkan institusi politik demokrasi, bukan sekadar kelengkapan atau dekorasi politik.</w:t>
      </w:r>
    </w:p>
    <w:p>
      <w:pPr>
        <w:pStyle w:val="BodyText"/>
        <w:spacing w:before="165"/>
        <w:jc w:val="left"/>
      </w:pPr>
    </w:p>
    <w:p>
      <w:pPr>
        <w:pStyle w:val="BodyText"/>
        <w:spacing w:line="360" w:lineRule="auto"/>
        <w:ind w:left="1843" w:right="697"/>
      </w:pPr>
      <w:r>
        <w:rPr/>
        <w:t>Tanpa</w:t>
      </w:r>
      <w:r>
        <w:rPr>
          <w:spacing w:val="-17"/>
        </w:rPr>
        <w:t> </w:t>
      </w:r>
      <w:r>
        <w:rPr/>
        <w:t>kehadiran</w:t>
      </w:r>
      <w:r>
        <w:rPr>
          <w:spacing w:val="-16"/>
        </w:rPr>
        <w:t> </w:t>
      </w:r>
      <w:r>
        <w:rPr/>
        <w:t>institusi-institusi</w:t>
      </w:r>
      <w:r>
        <w:rPr>
          <w:spacing w:val="-16"/>
        </w:rPr>
        <w:t> </w:t>
      </w:r>
      <w:r>
        <w:rPr/>
        <w:t>politik</w:t>
      </w:r>
      <w:r>
        <w:rPr>
          <w:spacing w:val="-15"/>
        </w:rPr>
        <w:t> </w:t>
      </w:r>
      <w:r>
        <w:rPr/>
        <w:t>yang</w:t>
      </w:r>
      <w:r>
        <w:rPr>
          <w:spacing w:val="-12"/>
        </w:rPr>
        <w:t> </w:t>
      </w:r>
      <w:r>
        <w:rPr/>
        <w:t>menampung</w:t>
      </w:r>
      <w:r>
        <w:rPr>
          <w:spacing w:val="-17"/>
        </w:rPr>
        <w:t> </w:t>
      </w:r>
      <w:r>
        <w:rPr/>
        <w:t>dan memperjuangkan</w:t>
      </w:r>
      <w:r>
        <w:rPr>
          <w:spacing w:val="-17"/>
        </w:rPr>
        <w:t> </w:t>
      </w:r>
      <w:r>
        <w:rPr/>
        <w:t>seluruh</w:t>
      </w:r>
      <w:r>
        <w:rPr>
          <w:spacing w:val="-16"/>
        </w:rPr>
        <w:t> </w:t>
      </w:r>
      <w:r>
        <w:rPr/>
        <w:t>aspirasi</w:t>
      </w:r>
      <w:r>
        <w:rPr>
          <w:spacing w:val="-17"/>
        </w:rPr>
        <w:t> </w:t>
      </w:r>
      <w:r>
        <w:rPr/>
        <w:t>dan</w:t>
      </w:r>
      <w:r>
        <w:rPr>
          <w:spacing w:val="-16"/>
        </w:rPr>
        <w:t> </w:t>
      </w:r>
      <w:r>
        <w:rPr/>
        <w:t>kepentingan</w:t>
      </w:r>
      <w:r>
        <w:rPr>
          <w:spacing w:val="-17"/>
        </w:rPr>
        <w:t> </w:t>
      </w:r>
      <w:r>
        <w:rPr/>
        <w:t>warganya</w:t>
      </w:r>
      <w:r>
        <w:rPr>
          <w:spacing w:val="-16"/>
        </w:rPr>
        <w:t> </w:t>
      </w:r>
      <w:r>
        <w:rPr/>
        <w:t>di periode pasca-2029, wilayah IKN Nusantara akan menjadi ‘kawasan yang bebas atau steril dari diskusi politik.’ Dewasa ini saja situasi pembangunan IKN yang steril dari diskusi politik sudah terasa. Jika ini terus berlangsung hingga pasca-2029, perkembangannya akan menjadi kontraproduktif dan aneh. Sebab, sebagaimana ibukota negara lainnya di berbagai belahan dunia, sewaktu masih di Jakarta, ibukota negara sebagai</w:t>
      </w:r>
      <w:r>
        <w:rPr>
          <w:spacing w:val="-11"/>
        </w:rPr>
        <w:t> </w:t>
      </w:r>
      <w:r>
        <w:rPr/>
        <w:t>pusat</w:t>
      </w:r>
      <w:r>
        <w:rPr>
          <w:spacing w:val="-10"/>
        </w:rPr>
        <w:t> </w:t>
      </w:r>
      <w:r>
        <w:rPr/>
        <w:t>pemerintahan</w:t>
      </w:r>
      <w:r>
        <w:rPr>
          <w:spacing w:val="-11"/>
        </w:rPr>
        <w:t> </w:t>
      </w:r>
      <w:r>
        <w:rPr/>
        <w:t>adalah</w:t>
      </w:r>
      <w:r>
        <w:rPr>
          <w:spacing w:val="-16"/>
        </w:rPr>
        <w:t> </w:t>
      </w:r>
      <w:r>
        <w:rPr/>
        <w:t>pusat</w:t>
      </w:r>
      <w:r>
        <w:rPr>
          <w:spacing w:val="-10"/>
        </w:rPr>
        <w:t> </w:t>
      </w:r>
      <w:r>
        <w:rPr/>
        <w:t>untuk</w:t>
      </w:r>
      <w:r>
        <w:rPr>
          <w:spacing w:val="-14"/>
        </w:rPr>
        <w:t> </w:t>
      </w:r>
      <w:r>
        <w:rPr/>
        <w:t>membicarakan dan memperjuangkan politik nasional, dan bahkan internasional! Sehingga, jika fungsi dan peran DPRD Kutai Kartanegara</w:t>
      </w:r>
      <w:r>
        <w:rPr>
          <w:spacing w:val="-5"/>
        </w:rPr>
        <w:t> </w:t>
      </w:r>
      <w:r>
        <w:rPr/>
        <w:t>memang</w:t>
      </w:r>
      <w:r>
        <w:rPr>
          <w:spacing w:val="-11"/>
        </w:rPr>
        <w:t> </w:t>
      </w:r>
      <w:r>
        <w:rPr/>
        <w:t>benar-benar</w:t>
      </w:r>
      <w:r>
        <w:rPr>
          <w:spacing w:val="-10"/>
        </w:rPr>
        <w:t> </w:t>
      </w:r>
      <w:r>
        <w:rPr/>
        <w:t>steril</w:t>
      </w:r>
      <w:r>
        <w:rPr>
          <w:spacing w:val="-10"/>
        </w:rPr>
        <w:t> </w:t>
      </w:r>
      <w:r>
        <w:rPr/>
        <w:t>di</w:t>
      </w:r>
      <w:r>
        <w:rPr>
          <w:spacing w:val="-4"/>
        </w:rPr>
        <w:t> </w:t>
      </w:r>
      <w:r>
        <w:rPr/>
        <w:t>IKN</w:t>
      </w:r>
      <w:r>
        <w:rPr>
          <w:spacing w:val="-5"/>
        </w:rPr>
        <w:t> </w:t>
      </w:r>
      <w:r>
        <w:rPr/>
        <w:t>Nusantara</w:t>
      </w:r>
      <w:r>
        <w:rPr>
          <w:spacing w:val="-10"/>
        </w:rPr>
        <w:t> </w:t>
      </w:r>
      <w:r>
        <w:rPr/>
        <w:t>sejak pembangunan berbagai proyek infrastruktur dan kehadiran warga yang mulai bermigrasi dari Jakarta tahun 2024, perkembangannya menjadi aneh. Karena, bagaimana bisa sebuah ibukota yang berstandar dunia, dengan jumlah penduduk yang bisa melebihi sebuah negara maju seperti di negara</w:t>
      </w:r>
      <w:r>
        <w:rPr>
          <w:spacing w:val="-12"/>
        </w:rPr>
        <w:t> </w:t>
      </w:r>
      <w:r>
        <w:rPr/>
        <w:t>bagian</w:t>
      </w:r>
      <w:r>
        <w:rPr>
          <w:spacing w:val="-10"/>
        </w:rPr>
        <w:t> </w:t>
      </w:r>
      <w:r>
        <w:rPr/>
        <w:t>Eropa</w:t>
      </w:r>
      <w:r>
        <w:rPr>
          <w:spacing w:val="-7"/>
        </w:rPr>
        <w:t> </w:t>
      </w:r>
      <w:r>
        <w:rPr/>
        <w:t>dan</w:t>
      </w:r>
      <w:r>
        <w:rPr>
          <w:spacing w:val="-7"/>
        </w:rPr>
        <w:t> </w:t>
      </w:r>
      <w:r>
        <w:rPr/>
        <w:t>AS</w:t>
      </w:r>
      <w:r>
        <w:rPr>
          <w:spacing w:val="-8"/>
        </w:rPr>
        <w:t> </w:t>
      </w:r>
      <w:r>
        <w:rPr/>
        <w:t>yang</w:t>
      </w:r>
      <w:r>
        <w:rPr>
          <w:spacing w:val="-12"/>
        </w:rPr>
        <w:t> </w:t>
      </w:r>
      <w:r>
        <w:rPr/>
        <w:t>demokratis,</w:t>
      </w:r>
      <w:r>
        <w:rPr>
          <w:spacing w:val="-8"/>
        </w:rPr>
        <w:t> </w:t>
      </w:r>
      <w:r>
        <w:rPr/>
        <w:t>tidak</w:t>
      </w:r>
      <w:r>
        <w:rPr>
          <w:spacing w:val="-9"/>
        </w:rPr>
        <w:t> </w:t>
      </w:r>
      <w:r>
        <w:rPr/>
        <w:t>punya</w:t>
      </w:r>
      <w:r>
        <w:rPr>
          <w:spacing w:val="-7"/>
        </w:rPr>
        <w:t> </w:t>
      </w:r>
      <w:r>
        <w:rPr/>
        <w:t>atau dilindungi oleh hak politik mereka dan memiliki representasi politik di tingkat lokal?</w:t>
      </w:r>
    </w:p>
    <w:p>
      <w:pPr>
        <w:pStyle w:val="BodyText"/>
        <w:spacing w:before="159"/>
        <w:jc w:val="left"/>
      </w:pPr>
    </w:p>
    <w:p>
      <w:pPr>
        <w:pStyle w:val="BodyText"/>
        <w:spacing w:line="362" w:lineRule="auto"/>
        <w:ind w:left="1843" w:right="711"/>
      </w:pPr>
      <w:r>
        <w:rPr/>
        <w:t>Jika mengabaikan pendapat dan analisis ini, tanpa kehadiran institusi parlemen di wilayah ini pasca-2029, citra Pemerintah</w:t>
      </w:r>
    </w:p>
    <w:p>
      <w:pPr>
        <w:pStyle w:val="BodyText"/>
        <w:spacing w:after="0" w:line="362" w:lineRule="auto"/>
        <w:sectPr>
          <w:pgSz w:w="11910" w:h="16840"/>
          <w:pgMar w:header="0" w:footer="1186" w:top="1580" w:bottom="1380" w:left="1700" w:right="992"/>
        </w:sectPr>
      </w:pPr>
    </w:p>
    <w:p>
      <w:pPr>
        <w:pStyle w:val="BodyText"/>
        <w:spacing w:line="360" w:lineRule="auto" w:before="82"/>
        <w:ind w:left="1843" w:right="704"/>
      </w:pPr>
      <w:r>
        <w:rPr/>
        <w:t>OIKN akan semakin buruk. Sekarang saja eksistensinya sudah diplesetkan sebagai ‘Pemerintah Otoriter’. Ia diidentikkan sebagai institusi pemerintah yang sangat super, selain abnormal, baik dalam perspektif akademik politik maupun praktik</w:t>
      </w:r>
      <w:r>
        <w:rPr>
          <w:spacing w:val="-17"/>
        </w:rPr>
        <w:t> </w:t>
      </w:r>
      <w:r>
        <w:rPr/>
        <w:t>kenegaraan.</w:t>
      </w:r>
      <w:r>
        <w:rPr>
          <w:spacing w:val="-15"/>
        </w:rPr>
        <w:t> </w:t>
      </w:r>
      <w:r>
        <w:rPr/>
        <w:t>Padahal,</w:t>
      </w:r>
      <w:r>
        <w:rPr>
          <w:spacing w:val="-16"/>
        </w:rPr>
        <w:t> </w:t>
      </w:r>
      <w:r>
        <w:rPr/>
        <w:t>seharusnya</w:t>
      </w:r>
      <w:r>
        <w:rPr>
          <w:spacing w:val="-17"/>
        </w:rPr>
        <w:t> </w:t>
      </w:r>
      <w:r>
        <w:rPr/>
        <w:t>tidak</w:t>
      </w:r>
      <w:r>
        <w:rPr>
          <w:spacing w:val="-12"/>
        </w:rPr>
        <w:t> </w:t>
      </w:r>
      <w:r>
        <w:rPr/>
        <w:t>demikian,</w:t>
      </w:r>
      <w:r>
        <w:rPr>
          <w:spacing w:val="-16"/>
        </w:rPr>
        <w:t> </w:t>
      </w:r>
      <w:r>
        <w:rPr/>
        <w:t>karena sejak reformas politik diluncurkan tahun 1998, demokrasi Indonesia sudah harus semakin maju, sebagai negara demokrasi terbesar ketiga di dunia.</w:t>
      </w:r>
    </w:p>
    <w:p>
      <w:pPr>
        <w:pStyle w:val="BodyText"/>
        <w:spacing w:before="162"/>
        <w:jc w:val="left"/>
      </w:pPr>
    </w:p>
    <w:p>
      <w:pPr>
        <w:pStyle w:val="BodyText"/>
        <w:spacing w:line="360" w:lineRule="auto"/>
        <w:ind w:left="1843" w:right="696"/>
      </w:pPr>
      <w:r>
        <w:rPr/>
        <w:t>Sementara itu, perkembangan iklim politik di kabupaten induk yang lama, Kutai Kartanegara, secara politik tidak berdampak signifikan, selain berisiko menghadapi berkurangnya jumlah daerah</w:t>
      </w:r>
      <w:r>
        <w:rPr>
          <w:spacing w:val="-12"/>
        </w:rPr>
        <w:t> </w:t>
      </w:r>
      <w:r>
        <w:rPr/>
        <w:t>pemilihan</w:t>
      </w:r>
      <w:r>
        <w:rPr>
          <w:spacing w:val="-11"/>
        </w:rPr>
        <w:t> </w:t>
      </w:r>
      <w:r>
        <w:rPr/>
        <w:t>(Dapil)</w:t>
      </w:r>
      <w:r>
        <w:rPr>
          <w:spacing w:val="-11"/>
        </w:rPr>
        <w:t> </w:t>
      </w:r>
      <w:r>
        <w:rPr/>
        <w:t>dan</w:t>
      </w:r>
      <w:r>
        <w:rPr>
          <w:spacing w:val="-12"/>
        </w:rPr>
        <w:t> </w:t>
      </w:r>
      <w:r>
        <w:rPr/>
        <w:t>warga</w:t>
      </w:r>
      <w:r>
        <w:rPr>
          <w:spacing w:val="-12"/>
        </w:rPr>
        <w:t> </w:t>
      </w:r>
      <w:r>
        <w:rPr/>
        <w:t>pemilih.</w:t>
      </w:r>
      <w:r>
        <w:rPr>
          <w:spacing w:val="-9"/>
        </w:rPr>
        <w:t> </w:t>
      </w:r>
      <w:r>
        <w:rPr/>
        <w:t>Ini</w:t>
      </w:r>
      <w:r>
        <w:rPr>
          <w:spacing w:val="-11"/>
        </w:rPr>
        <w:t> </w:t>
      </w:r>
      <w:r>
        <w:rPr/>
        <w:t>akan</w:t>
      </w:r>
      <w:r>
        <w:rPr>
          <w:spacing w:val="-12"/>
        </w:rPr>
        <w:t> </w:t>
      </w:r>
      <w:r>
        <w:rPr/>
        <w:t>membawa konsekuensi, berkurangnya jumlah wakil rakyat di DPRD Kabupaten Kutai Kartanegara. Dengan kata lain, berkurangnya rakyat</w:t>
      </w:r>
      <w:r>
        <w:rPr>
          <w:spacing w:val="-13"/>
        </w:rPr>
        <w:t> </w:t>
      </w:r>
      <w:r>
        <w:rPr/>
        <w:t>lokal</w:t>
      </w:r>
      <w:r>
        <w:rPr>
          <w:spacing w:val="-13"/>
        </w:rPr>
        <w:t> </w:t>
      </w:r>
      <w:r>
        <w:rPr/>
        <w:t>sebagai</w:t>
      </w:r>
      <w:r>
        <w:rPr>
          <w:spacing w:val="-13"/>
        </w:rPr>
        <w:t> </w:t>
      </w:r>
      <w:r>
        <w:rPr/>
        <w:t>pemilih</w:t>
      </w:r>
      <w:r>
        <w:rPr>
          <w:spacing w:val="-13"/>
        </w:rPr>
        <w:t> </w:t>
      </w:r>
      <w:r>
        <w:rPr/>
        <w:t>dalam</w:t>
      </w:r>
      <w:r>
        <w:rPr>
          <w:spacing w:val="-13"/>
        </w:rPr>
        <w:t> </w:t>
      </w:r>
      <w:r>
        <w:rPr/>
        <w:t>pemilhan</w:t>
      </w:r>
      <w:r>
        <w:rPr>
          <w:spacing w:val="-13"/>
        </w:rPr>
        <w:t> </w:t>
      </w:r>
      <w:r>
        <w:rPr/>
        <w:t>umum(konstituen) membawa</w:t>
      </w:r>
      <w:r>
        <w:rPr>
          <w:spacing w:val="-17"/>
        </w:rPr>
        <w:t> </w:t>
      </w:r>
      <w:r>
        <w:rPr/>
        <w:t>risiko</w:t>
      </w:r>
      <w:r>
        <w:rPr>
          <w:spacing w:val="-16"/>
        </w:rPr>
        <w:t> </w:t>
      </w:r>
      <w:r>
        <w:rPr/>
        <w:t>berkurangnya</w:t>
      </w:r>
      <w:r>
        <w:rPr>
          <w:spacing w:val="-17"/>
        </w:rPr>
        <w:t> </w:t>
      </w:r>
      <w:r>
        <w:rPr/>
        <w:t>Dapil</w:t>
      </w:r>
      <w:r>
        <w:rPr>
          <w:spacing w:val="-16"/>
        </w:rPr>
        <w:t> </w:t>
      </w:r>
      <w:r>
        <w:rPr/>
        <w:t>(konstituensi).Secara</w:t>
      </w:r>
      <w:r>
        <w:rPr>
          <w:spacing w:val="-9"/>
        </w:rPr>
        <w:t> </w:t>
      </w:r>
      <w:r>
        <w:rPr/>
        <w:t>logis, aktivitas politik masyarakat di wilayah ini akan cenderung menurun, kecuali aspirasi dan tuntutan baru mereka bermunculan akibat tidak diresponnya kepentingan mereka.</w:t>
      </w:r>
    </w:p>
    <w:p>
      <w:pPr>
        <w:pStyle w:val="BodyText"/>
        <w:spacing w:before="165"/>
        <w:jc w:val="left"/>
      </w:pPr>
    </w:p>
    <w:p>
      <w:pPr>
        <w:pStyle w:val="BodyText"/>
        <w:spacing w:line="360" w:lineRule="auto" w:before="1"/>
        <w:ind w:left="1843" w:right="697"/>
      </w:pPr>
      <w:r>
        <w:rPr/>
        <w:t>Diketahui, hasil pemilu 2019, DPRD Kutai Kartanegara sebagai institusi perwakilan daerah memiliki 45 anggota dari 10 partai politik,</w:t>
      </w:r>
      <w:r>
        <w:rPr>
          <w:spacing w:val="-9"/>
        </w:rPr>
        <w:t> </w:t>
      </w:r>
      <w:r>
        <w:rPr/>
        <w:t>yang</w:t>
      </w:r>
      <w:r>
        <w:rPr>
          <w:spacing w:val="-6"/>
        </w:rPr>
        <w:t> </w:t>
      </w:r>
      <w:r>
        <w:rPr/>
        <w:t>menjalankan</w:t>
      </w:r>
      <w:r>
        <w:rPr>
          <w:spacing w:val="-11"/>
        </w:rPr>
        <w:t> </w:t>
      </w:r>
      <w:r>
        <w:rPr/>
        <w:t>tugasnya</w:t>
      </w:r>
      <w:r>
        <w:rPr>
          <w:spacing w:val="-11"/>
        </w:rPr>
        <w:t> </w:t>
      </w:r>
      <w:r>
        <w:rPr/>
        <w:t>mengemban</w:t>
      </w:r>
      <w:r>
        <w:rPr>
          <w:spacing w:val="-10"/>
        </w:rPr>
        <w:t> </w:t>
      </w:r>
      <w:r>
        <w:rPr/>
        <w:t>aspirasi</w:t>
      </w:r>
      <w:r>
        <w:rPr>
          <w:spacing w:val="-10"/>
        </w:rPr>
        <w:t> </w:t>
      </w:r>
      <w:r>
        <w:rPr/>
        <w:t>rakyat sampai tahun 2024. Dari 6 Dapil (Daerah Pemilihan) yang ada, delineasi akan berdampak pada 2 Dapil, yakni di Dapil 4, meliputi Kecamatan Samboja, Muara Jawa dan Sanga Sanga, serta</w:t>
      </w:r>
      <w:r>
        <w:rPr>
          <w:spacing w:val="40"/>
        </w:rPr>
        <w:t> </w:t>
      </w:r>
      <w:r>
        <w:rPr/>
        <w:t>Dapil</w:t>
      </w:r>
      <w:r>
        <w:rPr>
          <w:spacing w:val="40"/>
        </w:rPr>
        <w:t> </w:t>
      </w:r>
      <w:r>
        <w:rPr/>
        <w:t>5</w:t>
      </w:r>
      <w:r>
        <w:rPr>
          <w:spacing w:val="40"/>
        </w:rPr>
        <w:t> </w:t>
      </w:r>
      <w:r>
        <w:rPr/>
        <w:t>meliputi</w:t>
      </w:r>
      <w:r>
        <w:rPr>
          <w:spacing w:val="40"/>
        </w:rPr>
        <w:t> </w:t>
      </w:r>
      <w:r>
        <w:rPr/>
        <w:t>Kecamatan</w:t>
      </w:r>
      <w:r>
        <w:rPr>
          <w:spacing w:val="40"/>
        </w:rPr>
        <w:t> </w:t>
      </w:r>
      <w:r>
        <w:rPr/>
        <w:t>Loa</w:t>
      </w:r>
      <w:r>
        <w:rPr>
          <w:spacing w:val="40"/>
        </w:rPr>
        <w:t> </w:t>
      </w:r>
      <w:r>
        <w:rPr/>
        <w:t>Janan</w:t>
      </w:r>
      <w:r>
        <w:rPr>
          <w:spacing w:val="40"/>
        </w:rPr>
        <w:t> </w:t>
      </w:r>
      <w:r>
        <w:rPr/>
        <w:t>dan</w:t>
      </w:r>
      <w:r>
        <w:rPr>
          <w:spacing w:val="40"/>
        </w:rPr>
        <w:t> </w:t>
      </w:r>
      <w:r>
        <w:rPr/>
        <w:t>Loa</w:t>
      </w:r>
      <w:r>
        <w:rPr>
          <w:spacing w:val="40"/>
        </w:rPr>
        <w:t> </w:t>
      </w:r>
      <w:r>
        <w:rPr/>
        <w:t>Kulu,</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98"/>
      </w:pPr>
      <w:r>
        <w:rPr/>
        <w:t>dengan</w:t>
      </w:r>
      <w:r>
        <w:rPr>
          <w:spacing w:val="-5"/>
        </w:rPr>
        <w:t> </w:t>
      </w:r>
      <w:r>
        <w:rPr/>
        <w:t>jumlah</w:t>
      </w:r>
      <w:r>
        <w:rPr>
          <w:spacing w:val="-5"/>
        </w:rPr>
        <w:t> </w:t>
      </w:r>
      <w:r>
        <w:rPr/>
        <w:t>kursi</w:t>
      </w:r>
      <w:r>
        <w:rPr>
          <w:spacing w:val="-4"/>
        </w:rPr>
        <w:t> </w:t>
      </w:r>
      <w:r>
        <w:rPr/>
        <w:t>masing-masing</w:t>
      </w:r>
      <w:r>
        <w:rPr>
          <w:spacing w:val="-6"/>
        </w:rPr>
        <w:t> </w:t>
      </w:r>
      <w:r>
        <w:rPr/>
        <w:t>8</w:t>
      </w:r>
      <w:r>
        <w:rPr>
          <w:spacing w:val="-4"/>
        </w:rPr>
        <w:t> </w:t>
      </w:r>
      <w:r>
        <w:rPr/>
        <w:t>kursi,</w:t>
      </w:r>
      <w:r>
        <w:rPr>
          <w:spacing w:val="-3"/>
        </w:rPr>
        <w:t> </w:t>
      </w:r>
      <w:r>
        <w:rPr/>
        <w:t>atau</w:t>
      </w:r>
      <w:r>
        <w:rPr>
          <w:spacing w:val="-5"/>
        </w:rPr>
        <w:t> </w:t>
      </w:r>
      <w:r>
        <w:rPr/>
        <w:t>total</w:t>
      </w:r>
      <w:r>
        <w:rPr>
          <w:spacing w:val="-5"/>
        </w:rPr>
        <w:t> </w:t>
      </w:r>
      <w:r>
        <w:rPr/>
        <w:t>16</w:t>
      </w:r>
      <w:r>
        <w:rPr>
          <w:spacing w:val="-3"/>
        </w:rPr>
        <w:t> </w:t>
      </w:r>
      <w:r>
        <w:rPr/>
        <w:t>kursi. Namun,</w:t>
      </w:r>
      <w:r>
        <w:rPr>
          <w:spacing w:val="-17"/>
        </w:rPr>
        <w:t> </w:t>
      </w:r>
      <w:r>
        <w:rPr/>
        <w:t>harus</w:t>
      </w:r>
      <w:r>
        <w:rPr>
          <w:spacing w:val="-16"/>
        </w:rPr>
        <w:t> </w:t>
      </w:r>
      <w:r>
        <w:rPr/>
        <w:t>diperhatikan,</w:t>
      </w:r>
      <w:r>
        <w:rPr>
          <w:spacing w:val="-16"/>
        </w:rPr>
        <w:t> </w:t>
      </w:r>
      <w:r>
        <w:rPr/>
        <w:t>jika</w:t>
      </w:r>
      <w:r>
        <w:rPr>
          <w:spacing w:val="-17"/>
        </w:rPr>
        <w:t> </w:t>
      </w:r>
      <w:r>
        <w:rPr/>
        <w:t>delineasi</w:t>
      </w:r>
      <w:r>
        <w:rPr>
          <w:spacing w:val="-16"/>
        </w:rPr>
        <w:t> </w:t>
      </w:r>
      <w:r>
        <w:rPr/>
        <w:t>terjadi</w:t>
      </w:r>
      <w:r>
        <w:rPr>
          <w:spacing w:val="-17"/>
        </w:rPr>
        <w:t> </w:t>
      </w:r>
      <w:r>
        <w:rPr/>
        <w:t>di</w:t>
      </w:r>
      <w:r>
        <w:rPr>
          <w:spacing w:val="-16"/>
        </w:rPr>
        <w:t> </w:t>
      </w:r>
      <w:r>
        <w:rPr/>
        <w:t>wilayah</w:t>
      </w:r>
      <w:r>
        <w:rPr>
          <w:spacing w:val="-17"/>
        </w:rPr>
        <w:t> </w:t>
      </w:r>
      <w:r>
        <w:rPr/>
        <w:t>yang tidak semuanya diambil, seperti Loa Janan, dan hanya di kawasan yang tidak berpenduduk, Dapilnya sesungguhnya tidak lenyap. Jadi, tidak ada</w:t>
      </w:r>
      <w:r>
        <w:rPr>
          <w:spacing w:val="-3"/>
        </w:rPr>
        <w:t> </w:t>
      </w:r>
      <w:r>
        <w:rPr/>
        <w:t>yang</w:t>
      </w:r>
      <w:r>
        <w:rPr>
          <w:spacing w:val="-3"/>
        </w:rPr>
        <w:t> </w:t>
      </w:r>
      <w:r>
        <w:rPr/>
        <w:t>terdampak atau</w:t>
      </w:r>
      <w:r>
        <w:rPr>
          <w:spacing w:val="-2"/>
        </w:rPr>
        <w:t> </w:t>
      </w:r>
      <w:r>
        <w:rPr/>
        <w:t>berubah</w:t>
      </w:r>
      <w:r>
        <w:rPr>
          <w:spacing w:val="-2"/>
        </w:rPr>
        <w:t> </w:t>
      </w:r>
      <w:r>
        <w:rPr/>
        <w:t>dari perspektif politik. Sebaliknya, jika delineasi terjadi di wilayah yang berpenduduk, maka akan berdampak langsung berkurangnya Dapil karena sudah tidak ada lagi penduduknya, sehingga eksistensi wakil</w:t>
      </w:r>
      <w:r>
        <w:rPr>
          <w:spacing w:val="-2"/>
        </w:rPr>
        <w:t> </w:t>
      </w:r>
      <w:r>
        <w:rPr/>
        <w:t>rakyat di DPRD, tidak lagi diperlukan.</w:t>
      </w:r>
    </w:p>
    <w:p>
      <w:pPr>
        <w:pStyle w:val="BodyText"/>
        <w:spacing w:before="163"/>
        <w:jc w:val="left"/>
      </w:pPr>
    </w:p>
    <w:p>
      <w:pPr>
        <w:pStyle w:val="BodyText"/>
        <w:spacing w:line="360" w:lineRule="auto"/>
        <w:ind w:left="1843" w:right="700"/>
      </w:pPr>
      <w:r>
        <w:rPr/>
        <w:t>Berdasarkan</w:t>
      </w:r>
      <w:r>
        <w:rPr>
          <w:spacing w:val="-3"/>
        </w:rPr>
        <w:t> </w:t>
      </w:r>
      <w:r>
        <w:rPr/>
        <w:t>data</w:t>
      </w:r>
      <w:r>
        <w:rPr>
          <w:spacing w:val="-3"/>
        </w:rPr>
        <w:t> </w:t>
      </w:r>
      <w:r>
        <w:rPr/>
        <w:t>Komisi</w:t>
      </w:r>
      <w:r>
        <w:rPr>
          <w:spacing w:val="-2"/>
        </w:rPr>
        <w:t> </w:t>
      </w:r>
      <w:r>
        <w:rPr/>
        <w:t>Pemilihan</w:t>
      </w:r>
      <w:r>
        <w:rPr>
          <w:spacing w:val="-3"/>
        </w:rPr>
        <w:t> </w:t>
      </w:r>
      <w:r>
        <w:rPr/>
        <w:t>Umum</w:t>
      </w:r>
      <w:r>
        <w:rPr>
          <w:spacing w:val="-2"/>
        </w:rPr>
        <w:t> </w:t>
      </w:r>
      <w:r>
        <w:rPr/>
        <w:t>(KPU),</w:t>
      </w:r>
      <w:r>
        <w:rPr>
          <w:spacing w:val="-1"/>
        </w:rPr>
        <w:t> </w:t>
      </w:r>
      <w:r>
        <w:rPr/>
        <w:t>untuk</w:t>
      </w:r>
      <w:r>
        <w:rPr>
          <w:spacing w:val="-1"/>
        </w:rPr>
        <w:t> </w:t>
      </w:r>
      <w:r>
        <w:rPr/>
        <w:t>pemilu 2024,</w:t>
      </w:r>
      <w:r>
        <w:rPr>
          <w:spacing w:val="-5"/>
        </w:rPr>
        <w:t> </w:t>
      </w:r>
      <w:r>
        <w:rPr/>
        <w:t>masa</w:t>
      </w:r>
      <w:r>
        <w:rPr>
          <w:spacing w:val="-7"/>
        </w:rPr>
        <w:t> </w:t>
      </w:r>
      <w:r>
        <w:rPr/>
        <w:t>tugas</w:t>
      </w:r>
      <w:r>
        <w:rPr>
          <w:spacing w:val="-6"/>
        </w:rPr>
        <w:t> </w:t>
      </w:r>
      <w:r>
        <w:rPr/>
        <w:t>2024-2029,</w:t>
      </w:r>
      <w:r>
        <w:rPr>
          <w:spacing w:val="-5"/>
        </w:rPr>
        <w:t> </w:t>
      </w:r>
      <w:r>
        <w:rPr/>
        <w:t>jumlah</w:t>
      </w:r>
      <w:r>
        <w:rPr>
          <w:spacing w:val="-6"/>
        </w:rPr>
        <w:t> </w:t>
      </w:r>
      <w:r>
        <w:rPr/>
        <w:t>kursi</w:t>
      </w:r>
      <w:r>
        <w:rPr>
          <w:spacing w:val="-6"/>
        </w:rPr>
        <w:t> </w:t>
      </w:r>
      <w:r>
        <w:rPr/>
        <w:t>untuk</w:t>
      </w:r>
      <w:r>
        <w:rPr>
          <w:spacing w:val="-4"/>
        </w:rPr>
        <w:t> </w:t>
      </w:r>
      <w:r>
        <w:rPr/>
        <w:t>Dapil</w:t>
      </w:r>
      <w:r>
        <w:rPr>
          <w:spacing w:val="-6"/>
        </w:rPr>
        <w:t> </w:t>
      </w:r>
      <w:r>
        <w:rPr/>
        <w:t>4</w:t>
      </w:r>
      <w:r>
        <w:rPr>
          <w:spacing w:val="-4"/>
        </w:rPr>
        <w:t> </w:t>
      </w:r>
      <w:r>
        <w:rPr/>
        <w:t>adalah 8</w:t>
      </w:r>
      <w:r>
        <w:rPr>
          <w:spacing w:val="-4"/>
        </w:rPr>
        <w:t> </w:t>
      </w:r>
      <w:r>
        <w:rPr/>
        <w:t>kursi,</w:t>
      </w:r>
      <w:r>
        <w:rPr>
          <w:spacing w:val="-4"/>
        </w:rPr>
        <w:t> </w:t>
      </w:r>
      <w:r>
        <w:rPr/>
        <w:t>sama</w:t>
      </w:r>
      <w:r>
        <w:rPr>
          <w:spacing w:val="-6"/>
        </w:rPr>
        <w:t> </w:t>
      </w:r>
      <w:r>
        <w:rPr/>
        <w:t>halnya</w:t>
      </w:r>
      <w:r>
        <w:rPr>
          <w:spacing w:val="-1"/>
        </w:rPr>
        <w:t> </w:t>
      </w:r>
      <w:r>
        <w:rPr/>
        <w:t>dengan</w:t>
      </w:r>
      <w:r>
        <w:rPr>
          <w:spacing w:val="-5"/>
        </w:rPr>
        <w:t> </w:t>
      </w:r>
      <w:r>
        <w:rPr/>
        <w:t>Dapil</w:t>
      </w:r>
      <w:r>
        <w:rPr>
          <w:spacing w:val="-4"/>
        </w:rPr>
        <w:t> </w:t>
      </w:r>
      <w:r>
        <w:rPr/>
        <w:t>5,</w:t>
      </w:r>
      <w:r>
        <w:rPr>
          <w:spacing w:val="-3"/>
        </w:rPr>
        <w:t> </w:t>
      </w:r>
      <w:r>
        <w:rPr/>
        <w:t>yang</w:t>
      </w:r>
      <w:r>
        <w:rPr>
          <w:spacing w:val="-1"/>
        </w:rPr>
        <w:t> </w:t>
      </w:r>
      <w:r>
        <w:rPr/>
        <w:t>juga</w:t>
      </w:r>
      <w:r>
        <w:rPr>
          <w:spacing w:val="-1"/>
        </w:rPr>
        <w:t> </w:t>
      </w:r>
      <w:r>
        <w:rPr/>
        <w:t>memiliki</w:t>
      </w:r>
      <w:r>
        <w:rPr>
          <w:spacing w:val="-4"/>
        </w:rPr>
        <w:t> </w:t>
      </w:r>
      <w:r>
        <w:rPr/>
        <w:t>8</w:t>
      </w:r>
      <w:r>
        <w:rPr>
          <w:spacing w:val="-4"/>
        </w:rPr>
        <w:t> </w:t>
      </w:r>
      <w:r>
        <w:rPr/>
        <w:t>kursi untuk anggota DPRD (</w:t>
      </w:r>
      <w:r>
        <w:rPr>
          <w:i/>
        </w:rPr>
        <w:t>Headlinekaltim.com</w:t>
      </w:r>
      <w:r>
        <w:rPr/>
        <w:t>,”Ini Hasil Penetapan Dapil dan Alokasi Kursi DPRD Kukar pada Pemilu 2024,”8 Pebruari 2023). Sebagai konsekuensi delineasi, Dapil 4 dari semula memiliki 8 jumlah kursi, sekarang mempunyai 6 kursi saja, sehingga 2 kursi hilang, Sedangkan Dapil 5, meliputi Kecamatan Loa Janan dan Loa Kulu, ditambah dengan Kecamatan</w:t>
      </w:r>
      <w:r>
        <w:rPr>
          <w:spacing w:val="-12"/>
        </w:rPr>
        <w:t> </w:t>
      </w:r>
      <w:r>
        <w:rPr/>
        <w:t>Samboja</w:t>
      </w:r>
      <w:r>
        <w:rPr>
          <w:spacing w:val="-12"/>
        </w:rPr>
        <w:t> </w:t>
      </w:r>
      <w:r>
        <w:rPr/>
        <w:t>Barat</w:t>
      </w:r>
      <w:r>
        <w:rPr>
          <w:spacing w:val="-10"/>
        </w:rPr>
        <w:t> </w:t>
      </w:r>
      <w:r>
        <w:rPr/>
        <w:t>yang</w:t>
      </w:r>
      <w:r>
        <w:rPr>
          <w:spacing w:val="-12"/>
        </w:rPr>
        <w:t> </w:t>
      </w:r>
      <w:r>
        <w:rPr/>
        <w:t>baru</w:t>
      </w:r>
      <w:r>
        <w:rPr>
          <w:spacing w:val="-7"/>
        </w:rPr>
        <w:t> </w:t>
      </w:r>
      <w:r>
        <w:rPr/>
        <w:t>dimekarkan,</w:t>
      </w:r>
      <w:r>
        <w:rPr>
          <w:spacing w:val="-9"/>
        </w:rPr>
        <w:t> </w:t>
      </w:r>
      <w:r>
        <w:rPr/>
        <w:t>Dapilnya</w:t>
      </w:r>
      <w:r>
        <w:rPr>
          <w:spacing w:val="-8"/>
        </w:rPr>
        <w:t> </w:t>
      </w:r>
      <w:r>
        <w:rPr/>
        <w:t>dari semula</w:t>
      </w:r>
      <w:r>
        <w:rPr>
          <w:spacing w:val="-8"/>
        </w:rPr>
        <w:t> </w:t>
      </w:r>
      <w:r>
        <w:rPr/>
        <w:t>8</w:t>
      </w:r>
      <w:r>
        <w:rPr>
          <w:spacing w:val="-4"/>
        </w:rPr>
        <w:t> </w:t>
      </w:r>
      <w:r>
        <w:rPr/>
        <w:t>bertambah</w:t>
      </w:r>
      <w:r>
        <w:rPr>
          <w:spacing w:val="-6"/>
        </w:rPr>
        <w:t> </w:t>
      </w:r>
      <w:r>
        <w:rPr/>
        <w:t>1</w:t>
      </w:r>
      <w:r>
        <w:rPr>
          <w:spacing w:val="-10"/>
        </w:rPr>
        <w:t> </w:t>
      </w:r>
      <w:r>
        <w:rPr/>
        <w:t>menjadi</w:t>
      </w:r>
      <w:r>
        <w:rPr>
          <w:spacing w:val="-6"/>
        </w:rPr>
        <w:t> </w:t>
      </w:r>
      <w:r>
        <w:rPr/>
        <w:t>9</w:t>
      </w:r>
      <w:r>
        <w:rPr>
          <w:spacing w:val="-4"/>
        </w:rPr>
        <w:t> </w:t>
      </w:r>
      <w:r>
        <w:rPr/>
        <w:t>kursi.</w:t>
      </w:r>
      <w:r>
        <w:rPr>
          <w:spacing w:val="-5"/>
        </w:rPr>
        <w:t> </w:t>
      </w:r>
      <w:r>
        <w:rPr/>
        <w:t>Perubahan</w:t>
      </w:r>
      <w:r>
        <w:rPr>
          <w:spacing w:val="-6"/>
        </w:rPr>
        <w:t> </w:t>
      </w:r>
      <w:r>
        <w:rPr/>
        <w:t>jumlah</w:t>
      </w:r>
      <w:r>
        <w:rPr>
          <w:spacing w:val="-6"/>
        </w:rPr>
        <w:t> </w:t>
      </w:r>
      <w:r>
        <w:rPr/>
        <w:t>Dapil secara logis bisa berdampak terhadap iklim politik yang tercipta, karena ada perubahan dalam konstelasi pemilih atau pendukung para wakil rakyat yang akan maju dalam pemilu legislatif tungkat daerah atau akan mencalonkan dirinya kembali. Dengan demikian, bertambah atau berkurangnya jumlah</w:t>
      </w:r>
      <w:r>
        <w:rPr>
          <w:spacing w:val="-13"/>
        </w:rPr>
        <w:t> </w:t>
      </w:r>
      <w:r>
        <w:rPr/>
        <w:t>kecamatan</w:t>
      </w:r>
      <w:r>
        <w:rPr>
          <w:spacing w:val="-8"/>
        </w:rPr>
        <w:t> </w:t>
      </w:r>
      <w:r>
        <w:rPr/>
        <w:t>akibat</w:t>
      </w:r>
      <w:r>
        <w:rPr>
          <w:spacing w:val="-11"/>
        </w:rPr>
        <w:t> </w:t>
      </w:r>
      <w:r>
        <w:rPr/>
        <w:t>bertambah</w:t>
      </w:r>
      <w:r>
        <w:rPr>
          <w:spacing w:val="-12"/>
        </w:rPr>
        <w:t> </w:t>
      </w:r>
      <w:r>
        <w:rPr/>
        <w:t>atau</w:t>
      </w:r>
      <w:r>
        <w:rPr>
          <w:spacing w:val="-13"/>
        </w:rPr>
        <w:t> </w:t>
      </w:r>
      <w:r>
        <w:rPr/>
        <w:t>berkurangnya</w:t>
      </w:r>
      <w:r>
        <w:rPr>
          <w:spacing w:val="-12"/>
        </w:rPr>
        <w:t> </w:t>
      </w:r>
      <w:r>
        <w:rPr/>
        <w:t>jumlah penduduk</w:t>
      </w:r>
      <w:r>
        <w:rPr>
          <w:spacing w:val="40"/>
        </w:rPr>
        <w:t> </w:t>
      </w:r>
      <w:r>
        <w:rPr/>
        <w:t>akibat</w:t>
      </w:r>
      <w:r>
        <w:rPr>
          <w:spacing w:val="40"/>
        </w:rPr>
        <w:t> </w:t>
      </w:r>
      <w:r>
        <w:rPr/>
        <w:t>kebijakan</w:t>
      </w:r>
      <w:r>
        <w:rPr>
          <w:spacing w:val="40"/>
        </w:rPr>
        <w:t> </w:t>
      </w:r>
      <w:r>
        <w:rPr/>
        <w:t>politik</w:t>
      </w:r>
      <w:r>
        <w:rPr>
          <w:spacing w:val="40"/>
        </w:rPr>
        <w:t> </w:t>
      </w:r>
      <w:r>
        <w:rPr/>
        <w:t>yang</w:t>
      </w:r>
      <w:r>
        <w:rPr>
          <w:spacing w:val="40"/>
        </w:rPr>
        <w:t> </w:t>
      </w:r>
      <w:r>
        <w:rPr/>
        <w:t>terjadi,</w:t>
      </w:r>
      <w:r>
        <w:rPr>
          <w:spacing w:val="40"/>
        </w:rPr>
        <w:t> </w:t>
      </w:r>
      <w:r>
        <w:rPr/>
        <w:t>termasuk</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4"/>
      </w:pPr>
      <w:r>
        <w:rPr/>
        <w:t>delineasi,</w:t>
      </w:r>
      <w:r>
        <w:rPr>
          <w:spacing w:val="-3"/>
        </w:rPr>
        <w:t> </w:t>
      </w:r>
      <w:r>
        <w:rPr/>
        <w:t>akan</w:t>
      </w:r>
      <w:r>
        <w:rPr>
          <w:spacing w:val="-4"/>
        </w:rPr>
        <w:t> </w:t>
      </w:r>
      <w:r>
        <w:rPr/>
        <w:t>memberikan</w:t>
      </w:r>
      <w:r>
        <w:rPr>
          <w:spacing w:val="-4"/>
        </w:rPr>
        <w:t> </w:t>
      </w:r>
      <w:r>
        <w:rPr/>
        <w:t>konsekuensi</w:t>
      </w:r>
      <w:r>
        <w:rPr>
          <w:spacing w:val="-3"/>
        </w:rPr>
        <w:t> </w:t>
      </w:r>
      <w:r>
        <w:rPr/>
        <w:t>pada penentuan</w:t>
      </w:r>
      <w:r>
        <w:rPr>
          <w:spacing w:val="-4"/>
        </w:rPr>
        <w:t> </w:t>
      </w:r>
      <w:r>
        <w:rPr/>
        <w:t>baru jumlah Dapil (</w:t>
      </w:r>
      <w:r>
        <w:rPr>
          <w:i/>
        </w:rPr>
        <w:t>Radar Kukar</w:t>
      </w:r>
      <w:r>
        <w:rPr/>
        <w:t>.com., “Penetapan Dapil di Kukar Berubah, Dapil 5 Dialokasikan 9 Kursi,” 9 Pebruari 2023)</w:t>
      </w:r>
    </w:p>
    <w:p>
      <w:pPr>
        <w:pStyle w:val="BodyText"/>
        <w:spacing w:before="165"/>
        <w:jc w:val="left"/>
      </w:pPr>
    </w:p>
    <w:p>
      <w:pPr>
        <w:pStyle w:val="ListParagraph"/>
        <w:numPr>
          <w:ilvl w:val="3"/>
          <w:numId w:val="32"/>
        </w:numPr>
        <w:tabs>
          <w:tab w:pos="1843" w:val="left" w:leader="none"/>
          <w:tab w:pos="3025" w:val="left" w:leader="none"/>
          <w:tab w:pos="3966" w:val="left" w:leader="none"/>
          <w:tab w:pos="6131" w:val="left" w:leader="none"/>
          <w:tab w:pos="6943" w:val="left" w:leader="none"/>
          <w:tab w:pos="7870" w:val="left" w:leader="none"/>
        </w:tabs>
        <w:spacing w:line="360" w:lineRule="auto" w:before="0" w:after="0"/>
        <w:ind w:left="1843" w:right="711" w:hanging="360"/>
        <w:jc w:val="left"/>
        <w:rPr>
          <w:sz w:val="24"/>
        </w:rPr>
      </w:pPr>
      <w:r>
        <w:rPr>
          <w:b/>
          <w:sz w:val="24"/>
        </w:rPr>
        <w:t>Eksistensi Desa dan Badan Permusyawaratan Desa </w:t>
      </w:r>
      <w:r>
        <w:rPr>
          <w:sz w:val="24"/>
        </w:rPr>
        <w:t>Masuknya</w:t>
      </w:r>
      <w:r>
        <w:rPr>
          <w:spacing w:val="40"/>
          <w:sz w:val="24"/>
        </w:rPr>
        <w:t> </w:t>
      </w:r>
      <w:r>
        <w:rPr>
          <w:sz w:val="24"/>
        </w:rPr>
        <w:t>6</w:t>
      </w:r>
      <w:r>
        <w:rPr>
          <w:spacing w:val="40"/>
          <w:sz w:val="24"/>
        </w:rPr>
        <w:t> </w:t>
      </w:r>
      <w:r>
        <w:rPr>
          <w:sz w:val="24"/>
        </w:rPr>
        <w:t>kecamatan</w:t>
      </w:r>
      <w:r>
        <w:rPr>
          <w:spacing w:val="40"/>
          <w:sz w:val="24"/>
        </w:rPr>
        <w:t> </w:t>
      </w:r>
      <w:r>
        <w:rPr>
          <w:sz w:val="24"/>
        </w:rPr>
        <w:t>di</w:t>
      </w:r>
      <w:r>
        <w:rPr>
          <w:spacing w:val="40"/>
          <w:sz w:val="24"/>
        </w:rPr>
        <w:t> </w:t>
      </w:r>
      <w:r>
        <w:rPr>
          <w:sz w:val="24"/>
        </w:rPr>
        <w:t>Kabupaten</w:t>
      </w:r>
      <w:r>
        <w:rPr>
          <w:spacing w:val="40"/>
          <w:sz w:val="24"/>
        </w:rPr>
        <w:t> </w:t>
      </w:r>
      <w:r>
        <w:rPr>
          <w:sz w:val="24"/>
        </w:rPr>
        <w:t>Kutai</w:t>
      </w:r>
      <w:r>
        <w:rPr>
          <w:spacing w:val="40"/>
          <w:sz w:val="24"/>
        </w:rPr>
        <w:t> </w:t>
      </w:r>
      <w:r>
        <w:rPr>
          <w:sz w:val="24"/>
        </w:rPr>
        <w:t>Kartanegara menjadi wilayah IKN berdampak pada sejumlah desa yang </w:t>
      </w:r>
      <w:r>
        <w:rPr>
          <w:spacing w:val="-2"/>
          <w:sz w:val="24"/>
        </w:rPr>
        <w:t>memiliki</w:t>
      </w:r>
      <w:r>
        <w:rPr>
          <w:sz w:val="24"/>
        </w:rPr>
        <w:tab/>
      </w:r>
      <w:r>
        <w:rPr>
          <w:spacing w:val="-4"/>
          <w:sz w:val="24"/>
        </w:rPr>
        <w:t>Badan</w:t>
      </w:r>
      <w:r>
        <w:rPr>
          <w:sz w:val="24"/>
        </w:rPr>
        <w:tab/>
      </w:r>
      <w:r>
        <w:rPr>
          <w:spacing w:val="-2"/>
          <w:sz w:val="24"/>
        </w:rPr>
        <w:t>Permusyawaratan</w:t>
      </w:r>
      <w:r>
        <w:rPr>
          <w:sz w:val="24"/>
        </w:rPr>
        <w:tab/>
      </w:r>
      <w:r>
        <w:rPr>
          <w:spacing w:val="-4"/>
          <w:sz w:val="24"/>
        </w:rPr>
        <w:t>Desa</w:t>
      </w:r>
      <w:r>
        <w:rPr>
          <w:sz w:val="24"/>
        </w:rPr>
        <w:tab/>
      </w:r>
      <w:r>
        <w:rPr>
          <w:spacing w:val="-2"/>
          <w:sz w:val="24"/>
        </w:rPr>
        <w:t>(BPD).</w:t>
      </w:r>
      <w:r>
        <w:rPr>
          <w:sz w:val="24"/>
        </w:rPr>
        <w:tab/>
      </w:r>
      <w:r>
        <w:rPr>
          <w:spacing w:val="-4"/>
          <w:sz w:val="24"/>
        </w:rPr>
        <w:t>Untuk </w:t>
      </w:r>
      <w:r>
        <w:rPr>
          <w:sz w:val="24"/>
        </w:rPr>
        <w:t>Kecamatan</w:t>
      </w:r>
      <w:r>
        <w:rPr>
          <w:spacing w:val="-11"/>
          <w:sz w:val="24"/>
        </w:rPr>
        <w:t> </w:t>
      </w:r>
      <w:r>
        <w:rPr>
          <w:sz w:val="24"/>
        </w:rPr>
        <w:t>Samboja</w:t>
      </w:r>
      <w:r>
        <w:rPr>
          <w:spacing w:val="-8"/>
          <w:sz w:val="24"/>
        </w:rPr>
        <w:t> </w:t>
      </w:r>
      <w:r>
        <w:rPr>
          <w:sz w:val="24"/>
        </w:rPr>
        <w:t>ada</w:t>
      </w:r>
      <w:r>
        <w:rPr>
          <w:spacing w:val="-8"/>
          <w:sz w:val="24"/>
        </w:rPr>
        <w:t> </w:t>
      </w:r>
      <w:r>
        <w:rPr>
          <w:sz w:val="24"/>
        </w:rPr>
        <w:t>3</w:t>
      </w:r>
      <w:r>
        <w:rPr>
          <w:spacing w:val="-6"/>
          <w:sz w:val="24"/>
        </w:rPr>
        <w:t> </w:t>
      </w:r>
      <w:r>
        <w:rPr>
          <w:sz w:val="24"/>
        </w:rPr>
        <w:t>desa;</w:t>
      </w:r>
      <w:r>
        <w:rPr>
          <w:spacing w:val="-9"/>
          <w:sz w:val="24"/>
        </w:rPr>
        <w:t> </w:t>
      </w:r>
      <w:r>
        <w:rPr>
          <w:sz w:val="24"/>
        </w:rPr>
        <w:t>Kecamatan</w:t>
      </w:r>
      <w:r>
        <w:rPr>
          <w:spacing w:val="-6"/>
          <w:sz w:val="24"/>
        </w:rPr>
        <w:t> </w:t>
      </w:r>
      <w:r>
        <w:rPr>
          <w:sz w:val="24"/>
        </w:rPr>
        <w:t>Samboja</w:t>
      </w:r>
      <w:r>
        <w:rPr>
          <w:spacing w:val="-8"/>
          <w:sz w:val="24"/>
        </w:rPr>
        <w:t> </w:t>
      </w:r>
      <w:r>
        <w:rPr>
          <w:sz w:val="24"/>
        </w:rPr>
        <w:t>Barat</w:t>
      </w:r>
      <w:r>
        <w:rPr>
          <w:spacing w:val="-5"/>
          <w:sz w:val="24"/>
        </w:rPr>
        <w:t> </w:t>
      </w:r>
      <w:r>
        <w:rPr>
          <w:sz w:val="24"/>
        </w:rPr>
        <w:t>ada</w:t>
      </w:r>
    </w:p>
    <w:p>
      <w:pPr>
        <w:pStyle w:val="ListParagraph"/>
        <w:numPr>
          <w:ilvl w:val="4"/>
          <w:numId w:val="32"/>
        </w:numPr>
        <w:tabs>
          <w:tab w:pos="2049" w:val="left" w:leader="none"/>
        </w:tabs>
        <w:spacing w:line="316" w:lineRule="exact" w:before="0" w:after="0"/>
        <w:ind w:left="2049" w:right="0" w:hanging="206"/>
        <w:jc w:val="both"/>
        <w:rPr>
          <w:sz w:val="24"/>
        </w:rPr>
      </w:pPr>
      <w:r>
        <w:rPr>
          <w:sz w:val="24"/>
        </w:rPr>
        <w:t>desa;</w:t>
      </w:r>
      <w:r>
        <w:rPr>
          <w:spacing w:val="8"/>
          <w:sz w:val="24"/>
        </w:rPr>
        <w:t> </w:t>
      </w:r>
      <w:r>
        <w:rPr>
          <w:sz w:val="24"/>
        </w:rPr>
        <w:t>Kecamatan</w:t>
      </w:r>
      <w:r>
        <w:rPr>
          <w:spacing w:val="8"/>
          <w:sz w:val="24"/>
        </w:rPr>
        <w:t> </w:t>
      </w:r>
      <w:r>
        <w:rPr>
          <w:sz w:val="24"/>
        </w:rPr>
        <w:t>Loa</w:t>
      </w:r>
      <w:r>
        <w:rPr>
          <w:spacing w:val="7"/>
          <w:sz w:val="24"/>
        </w:rPr>
        <w:t> </w:t>
      </w:r>
      <w:r>
        <w:rPr>
          <w:sz w:val="24"/>
        </w:rPr>
        <w:t>Janan</w:t>
      </w:r>
      <w:r>
        <w:rPr>
          <w:spacing w:val="6"/>
          <w:sz w:val="24"/>
        </w:rPr>
        <w:t> </w:t>
      </w:r>
      <w:r>
        <w:rPr>
          <w:sz w:val="24"/>
        </w:rPr>
        <w:t>ada</w:t>
      </w:r>
      <w:r>
        <w:rPr>
          <w:spacing w:val="7"/>
          <w:sz w:val="24"/>
        </w:rPr>
        <w:t> </w:t>
      </w:r>
      <w:r>
        <w:rPr>
          <w:sz w:val="24"/>
        </w:rPr>
        <w:t>5</w:t>
      </w:r>
      <w:r>
        <w:rPr>
          <w:spacing w:val="9"/>
          <w:sz w:val="24"/>
        </w:rPr>
        <w:t> </w:t>
      </w:r>
      <w:r>
        <w:rPr>
          <w:sz w:val="24"/>
        </w:rPr>
        <w:t>desa;</w:t>
      </w:r>
      <w:r>
        <w:rPr>
          <w:spacing w:val="9"/>
          <w:sz w:val="24"/>
        </w:rPr>
        <w:t> </w:t>
      </w:r>
      <w:r>
        <w:rPr>
          <w:sz w:val="24"/>
        </w:rPr>
        <w:t>Kecamatan</w:t>
      </w:r>
      <w:r>
        <w:rPr>
          <w:spacing w:val="13"/>
          <w:sz w:val="24"/>
        </w:rPr>
        <w:t> </w:t>
      </w:r>
      <w:r>
        <w:rPr>
          <w:sz w:val="24"/>
        </w:rPr>
        <w:t>Loa</w:t>
      </w:r>
      <w:r>
        <w:rPr>
          <w:spacing w:val="7"/>
          <w:sz w:val="24"/>
        </w:rPr>
        <w:t> </w:t>
      </w:r>
      <w:r>
        <w:rPr>
          <w:spacing w:val="-4"/>
          <w:sz w:val="24"/>
        </w:rPr>
        <w:t>Kulu</w:t>
      </w:r>
    </w:p>
    <w:p>
      <w:pPr>
        <w:pStyle w:val="ListParagraph"/>
        <w:numPr>
          <w:ilvl w:val="4"/>
          <w:numId w:val="32"/>
        </w:numPr>
        <w:tabs>
          <w:tab w:pos="2039" w:val="left" w:leader="none"/>
        </w:tabs>
        <w:spacing w:line="360" w:lineRule="auto" w:before="161" w:after="0"/>
        <w:ind w:left="1843" w:right="704" w:firstLine="0"/>
        <w:jc w:val="both"/>
        <w:rPr>
          <w:sz w:val="24"/>
        </w:rPr>
      </w:pPr>
      <w:r>
        <w:rPr>
          <w:sz w:val="24"/>
        </w:rPr>
        <w:t>desa; dan Kecamatan</w:t>
      </w:r>
      <w:r>
        <w:rPr>
          <w:spacing w:val="-1"/>
          <w:sz w:val="24"/>
        </w:rPr>
        <w:t> </w:t>
      </w:r>
      <w:r>
        <w:rPr>
          <w:sz w:val="24"/>
        </w:rPr>
        <w:t>Sanga-Sanga 1 desa. Total ada</w:t>
      </w:r>
      <w:r>
        <w:rPr>
          <w:spacing w:val="-1"/>
          <w:sz w:val="24"/>
        </w:rPr>
        <w:t> </w:t>
      </w:r>
      <w:r>
        <w:rPr>
          <w:sz w:val="24"/>
        </w:rPr>
        <w:t>12 desa yang masuk ke wilayah IKN (Direktorat Jenderal Bina Administrasi Kewilayahan Kemendagri, 2023) (lihat Tabel 10).</w:t>
      </w:r>
    </w:p>
    <w:p>
      <w:pPr>
        <w:pStyle w:val="BodyText"/>
        <w:spacing w:before="9"/>
        <w:jc w:val="left"/>
      </w:pPr>
    </w:p>
    <w:p>
      <w:pPr>
        <w:spacing w:before="0"/>
        <w:ind w:left="916" w:right="0" w:firstLine="0"/>
        <w:jc w:val="left"/>
        <w:rPr>
          <w:rFonts w:ascii="Lucida Sans Unicode"/>
          <w:sz w:val="22"/>
        </w:rPr>
      </w:pPr>
      <w:bookmarkStart w:name="_bookmark52" w:id="53"/>
      <w:bookmarkEnd w:id="53"/>
      <w:r>
        <w:rPr/>
      </w:r>
      <w:r>
        <w:rPr>
          <w:rFonts w:ascii="Tahoma"/>
          <w:b/>
          <w:sz w:val="22"/>
        </w:rPr>
        <w:t>Tabel 10.</w:t>
      </w:r>
      <w:r>
        <w:rPr>
          <w:rFonts w:ascii="Tahoma"/>
          <w:b/>
          <w:spacing w:val="18"/>
          <w:sz w:val="22"/>
        </w:rPr>
        <w:t> </w:t>
      </w:r>
      <w:r>
        <w:rPr>
          <w:rFonts w:ascii="Lucida Sans Unicode"/>
          <w:sz w:val="22"/>
        </w:rPr>
        <w:t>Jumlah</w:t>
      </w:r>
      <w:r>
        <w:rPr>
          <w:rFonts w:ascii="Lucida Sans Unicode"/>
          <w:spacing w:val="19"/>
          <w:sz w:val="22"/>
        </w:rPr>
        <w:t> </w:t>
      </w:r>
      <w:r>
        <w:rPr>
          <w:rFonts w:ascii="Lucida Sans Unicode"/>
          <w:sz w:val="22"/>
        </w:rPr>
        <w:t>Desa</w:t>
      </w:r>
      <w:r>
        <w:rPr>
          <w:rFonts w:ascii="Lucida Sans Unicode"/>
          <w:spacing w:val="13"/>
          <w:sz w:val="22"/>
        </w:rPr>
        <w:t> </w:t>
      </w:r>
      <w:r>
        <w:rPr>
          <w:rFonts w:ascii="Lucida Sans Unicode"/>
          <w:sz w:val="22"/>
        </w:rPr>
        <w:t>di</w:t>
      </w:r>
      <w:r>
        <w:rPr>
          <w:rFonts w:ascii="Lucida Sans Unicode"/>
          <w:spacing w:val="14"/>
          <w:sz w:val="22"/>
        </w:rPr>
        <w:t> </w:t>
      </w:r>
      <w:r>
        <w:rPr>
          <w:rFonts w:ascii="Lucida Sans Unicode"/>
          <w:sz w:val="22"/>
        </w:rPr>
        <w:t>Kabupaten</w:t>
      </w:r>
      <w:r>
        <w:rPr>
          <w:rFonts w:ascii="Lucida Sans Unicode"/>
          <w:spacing w:val="18"/>
          <w:sz w:val="22"/>
        </w:rPr>
        <w:t> </w:t>
      </w:r>
      <w:r>
        <w:rPr>
          <w:rFonts w:ascii="Lucida Sans Unicode"/>
          <w:sz w:val="22"/>
        </w:rPr>
        <w:t>Kutai</w:t>
      </w:r>
      <w:r>
        <w:rPr>
          <w:rFonts w:ascii="Lucida Sans Unicode"/>
          <w:spacing w:val="13"/>
          <w:sz w:val="22"/>
        </w:rPr>
        <w:t> </w:t>
      </w:r>
      <w:r>
        <w:rPr>
          <w:rFonts w:ascii="Lucida Sans Unicode"/>
          <w:sz w:val="22"/>
        </w:rPr>
        <w:t>Kartanegara</w:t>
      </w:r>
      <w:r>
        <w:rPr>
          <w:rFonts w:ascii="Lucida Sans Unicode"/>
          <w:spacing w:val="15"/>
          <w:sz w:val="22"/>
        </w:rPr>
        <w:t> </w:t>
      </w:r>
      <w:r>
        <w:rPr>
          <w:rFonts w:ascii="Lucida Sans Unicode"/>
          <w:sz w:val="22"/>
        </w:rPr>
        <w:t>Masuk</w:t>
      </w:r>
      <w:r>
        <w:rPr>
          <w:rFonts w:ascii="Lucida Sans Unicode"/>
          <w:spacing w:val="16"/>
          <w:sz w:val="22"/>
        </w:rPr>
        <w:t> </w:t>
      </w:r>
      <w:r>
        <w:rPr>
          <w:rFonts w:ascii="Lucida Sans Unicode"/>
          <w:spacing w:val="-5"/>
          <w:sz w:val="22"/>
        </w:rPr>
        <w:t>IKN</w:t>
      </w:r>
    </w:p>
    <w:p>
      <w:pPr>
        <w:pStyle w:val="BodyText"/>
        <w:spacing w:before="13"/>
        <w:jc w:val="left"/>
        <w:rPr>
          <w:rFonts w:ascii="Lucida Sans Unicode"/>
          <w:sz w:val="11"/>
        </w:rPr>
      </w:pPr>
    </w:p>
    <w:tbl>
      <w:tblPr>
        <w:tblW w:w="0" w:type="auto"/>
        <w:jc w:val="left"/>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6"/>
        <w:gridCol w:w="3275"/>
      </w:tblGrid>
      <w:tr>
        <w:trPr>
          <w:trHeight w:val="321" w:hRule="atLeast"/>
        </w:trPr>
        <w:tc>
          <w:tcPr>
            <w:tcW w:w="3376" w:type="dxa"/>
            <w:shd w:val="clear" w:color="auto" w:fill="808080"/>
          </w:tcPr>
          <w:p>
            <w:pPr>
              <w:pStyle w:val="TableParagraph"/>
              <w:spacing w:line="301" w:lineRule="exact"/>
              <w:ind w:left="110"/>
              <w:rPr>
                <w:b/>
                <w:sz w:val="24"/>
              </w:rPr>
            </w:pPr>
            <w:r>
              <w:rPr>
                <w:b/>
                <w:color w:val="FFFFFF"/>
                <w:spacing w:val="-2"/>
                <w:sz w:val="24"/>
              </w:rPr>
              <w:t>Kecamatan</w:t>
            </w:r>
          </w:p>
        </w:tc>
        <w:tc>
          <w:tcPr>
            <w:tcW w:w="3275" w:type="dxa"/>
            <w:shd w:val="clear" w:color="auto" w:fill="808080"/>
          </w:tcPr>
          <w:p>
            <w:pPr>
              <w:pStyle w:val="TableParagraph"/>
              <w:spacing w:line="301" w:lineRule="exact"/>
              <w:ind w:left="18" w:right="6"/>
              <w:jc w:val="center"/>
              <w:rPr>
                <w:b/>
                <w:sz w:val="24"/>
              </w:rPr>
            </w:pPr>
            <w:r>
              <w:rPr>
                <w:b/>
                <w:color w:val="FFFFFF"/>
                <w:sz w:val="24"/>
              </w:rPr>
              <w:t>Jumlah</w:t>
            </w:r>
            <w:r>
              <w:rPr>
                <w:b/>
                <w:color w:val="FFFFFF"/>
                <w:spacing w:val="-9"/>
                <w:sz w:val="24"/>
              </w:rPr>
              <w:t> </w:t>
            </w:r>
            <w:r>
              <w:rPr>
                <w:b/>
                <w:color w:val="FFFFFF"/>
                <w:spacing w:val="-4"/>
                <w:sz w:val="24"/>
              </w:rPr>
              <w:t>Desa</w:t>
            </w:r>
          </w:p>
        </w:tc>
      </w:tr>
      <w:tr>
        <w:trPr>
          <w:trHeight w:val="316" w:hRule="atLeast"/>
        </w:trPr>
        <w:tc>
          <w:tcPr>
            <w:tcW w:w="3376" w:type="dxa"/>
            <w:shd w:val="clear" w:color="auto" w:fill="F0F0F0"/>
          </w:tcPr>
          <w:p>
            <w:pPr>
              <w:pStyle w:val="TableParagraph"/>
              <w:spacing w:line="296" w:lineRule="exact"/>
              <w:ind w:left="110"/>
              <w:rPr>
                <w:sz w:val="24"/>
              </w:rPr>
            </w:pPr>
            <w:r>
              <w:rPr>
                <w:spacing w:val="-2"/>
                <w:sz w:val="24"/>
              </w:rPr>
              <w:t>Samboja</w:t>
            </w:r>
          </w:p>
        </w:tc>
        <w:tc>
          <w:tcPr>
            <w:tcW w:w="3275" w:type="dxa"/>
            <w:shd w:val="clear" w:color="auto" w:fill="F0F0F0"/>
          </w:tcPr>
          <w:p>
            <w:pPr>
              <w:pStyle w:val="TableParagraph"/>
              <w:spacing w:line="296" w:lineRule="exact"/>
              <w:ind w:left="18" w:right="5"/>
              <w:jc w:val="center"/>
              <w:rPr>
                <w:sz w:val="24"/>
              </w:rPr>
            </w:pPr>
            <w:r>
              <w:rPr>
                <w:spacing w:val="-10"/>
                <w:sz w:val="24"/>
              </w:rPr>
              <w:t>3</w:t>
            </w:r>
          </w:p>
        </w:tc>
      </w:tr>
      <w:tr>
        <w:trPr>
          <w:trHeight w:val="321" w:hRule="atLeast"/>
        </w:trPr>
        <w:tc>
          <w:tcPr>
            <w:tcW w:w="3376" w:type="dxa"/>
            <w:shd w:val="clear" w:color="auto" w:fill="F0F0F0"/>
          </w:tcPr>
          <w:p>
            <w:pPr>
              <w:pStyle w:val="TableParagraph"/>
              <w:spacing w:line="302" w:lineRule="exact"/>
              <w:ind w:left="110"/>
              <w:rPr>
                <w:sz w:val="24"/>
              </w:rPr>
            </w:pPr>
            <w:r>
              <w:rPr>
                <w:sz w:val="24"/>
              </w:rPr>
              <w:t>Samboja</w:t>
            </w:r>
            <w:r>
              <w:rPr>
                <w:spacing w:val="-13"/>
                <w:sz w:val="24"/>
              </w:rPr>
              <w:t> </w:t>
            </w:r>
            <w:r>
              <w:rPr>
                <w:spacing w:val="-4"/>
                <w:sz w:val="24"/>
              </w:rPr>
              <w:t>Barat</w:t>
            </w:r>
          </w:p>
        </w:tc>
        <w:tc>
          <w:tcPr>
            <w:tcW w:w="3275" w:type="dxa"/>
            <w:shd w:val="clear" w:color="auto" w:fill="F0F0F0"/>
          </w:tcPr>
          <w:p>
            <w:pPr>
              <w:pStyle w:val="TableParagraph"/>
              <w:spacing w:line="302" w:lineRule="exact"/>
              <w:ind w:left="18" w:right="5"/>
              <w:jc w:val="center"/>
              <w:rPr>
                <w:sz w:val="24"/>
              </w:rPr>
            </w:pPr>
            <w:r>
              <w:rPr>
                <w:spacing w:val="-10"/>
                <w:sz w:val="24"/>
              </w:rPr>
              <w:t>1</w:t>
            </w:r>
          </w:p>
        </w:tc>
      </w:tr>
      <w:tr>
        <w:trPr>
          <w:trHeight w:val="316" w:hRule="atLeast"/>
        </w:trPr>
        <w:tc>
          <w:tcPr>
            <w:tcW w:w="3376" w:type="dxa"/>
            <w:shd w:val="clear" w:color="auto" w:fill="F0F0F0"/>
          </w:tcPr>
          <w:p>
            <w:pPr>
              <w:pStyle w:val="TableParagraph"/>
              <w:spacing w:line="296" w:lineRule="exact"/>
              <w:ind w:left="110"/>
              <w:rPr>
                <w:sz w:val="24"/>
              </w:rPr>
            </w:pPr>
            <w:r>
              <w:rPr>
                <w:sz w:val="24"/>
              </w:rPr>
              <w:t>Muara</w:t>
            </w:r>
            <w:r>
              <w:rPr>
                <w:spacing w:val="-9"/>
                <w:sz w:val="24"/>
              </w:rPr>
              <w:t> </w:t>
            </w:r>
            <w:r>
              <w:rPr>
                <w:spacing w:val="-4"/>
                <w:sz w:val="24"/>
              </w:rPr>
              <w:t>Jawa</w:t>
            </w:r>
          </w:p>
        </w:tc>
        <w:tc>
          <w:tcPr>
            <w:tcW w:w="3275" w:type="dxa"/>
            <w:shd w:val="clear" w:color="auto" w:fill="F0F0F0"/>
          </w:tcPr>
          <w:p>
            <w:pPr>
              <w:pStyle w:val="TableParagraph"/>
              <w:spacing w:line="296" w:lineRule="exact"/>
              <w:ind w:left="18" w:right="5"/>
              <w:jc w:val="center"/>
              <w:rPr>
                <w:sz w:val="24"/>
              </w:rPr>
            </w:pPr>
            <w:r>
              <w:rPr>
                <w:spacing w:val="-10"/>
                <w:sz w:val="24"/>
              </w:rPr>
              <w:t>0</w:t>
            </w:r>
          </w:p>
        </w:tc>
      </w:tr>
      <w:tr>
        <w:trPr>
          <w:trHeight w:val="321" w:hRule="atLeast"/>
        </w:trPr>
        <w:tc>
          <w:tcPr>
            <w:tcW w:w="3376" w:type="dxa"/>
            <w:shd w:val="clear" w:color="auto" w:fill="F0F0F0"/>
          </w:tcPr>
          <w:p>
            <w:pPr>
              <w:pStyle w:val="TableParagraph"/>
              <w:spacing w:line="300" w:lineRule="exact"/>
              <w:ind w:left="110"/>
              <w:rPr>
                <w:sz w:val="24"/>
              </w:rPr>
            </w:pPr>
            <w:r>
              <w:rPr>
                <w:sz w:val="24"/>
              </w:rPr>
              <w:t>Loa</w:t>
            </w:r>
            <w:r>
              <w:rPr>
                <w:spacing w:val="-1"/>
                <w:sz w:val="24"/>
              </w:rPr>
              <w:t> </w:t>
            </w:r>
            <w:r>
              <w:rPr>
                <w:spacing w:val="-2"/>
                <w:sz w:val="24"/>
              </w:rPr>
              <w:t>Janan</w:t>
            </w:r>
          </w:p>
        </w:tc>
        <w:tc>
          <w:tcPr>
            <w:tcW w:w="3275" w:type="dxa"/>
            <w:shd w:val="clear" w:color="auto" w:fill="F0F0F0"/>
          </w:tcPr>
          <w:p>
            <w:pPr>
              <w:pStyle w:val="TableParagraph"/>
              <w:spacing w:line="300" w:lineRule="exact"/>
              <w:ind w:left="18" w:right="5"/>
              <w:jc w:val="center"/>
              <w:rPr>
                <w:sz w:val="24"/>
              </w:rPr>
            </w:pPr>
            <w:r>
              <w:rPr>
                <w:spacing w:val="-10"/>
                <w:sz w:val="24"/>
              </w:rPr>
              <w:t>5</w:t>
            </w:r>
          </w:p>
        </w:tc>
      </w:tr>
      <w:tr>
        <w:trPr>
          <w:trHeight w:val="316" w:hRule="atLeast"/>
        </w:trPr>
        <w:tc>
          <w:tcPr>
            <w:tcW w:w="3376" w:type="dxa"/>
            <w:shd w:val="clear" w:color="auto" w:fill="F0F0F0"/>
          </w:tcPr>
          <w:p>
            <w:pPr>
              <w:pStyle w:val="TableParagraph"/>
              <w:spacing w:line="296" w:lineRule="exact"/>
              <w:ind w:left="110"/>
              <w:rPr>
                <w:sz w:val="24"/>
              </w:rPr>
            </w:pPr>
            <w:r>
              <w:rPr>
                <w:sz w:val="24"/>
              </w:rPr>
              <w:t>Loa</w:t>
            </w:r>
            <w:r>
              <w:rPr>
                <w:spacing w:val="-1"/>
                <w:sz w:val="24"/>
              </w:rPr>
              <w:t> </w:t>
            </w:r>
            <w:r>
              <w:rPr>
                <w:spacing w:val="-4"/>
                <w:sz w:val="24"/>
              </w:rPr>
              <w:t>Kulu</w:t>
            </w:r>
          </w:p>
        </w:tc>
        <w:tc>
          <w:tcPr>
            <w:tcW w:w="3275" w:type="dxa"/>
            <w:shd w:val="clear" w:color="auto" w:fill="F0F0F0"/>
          </w:tcPr>
          <w:p>
            <w:pPr>
              <w:pStyle w:val="TableParagraph"/>
              <w:spacing w:line="296" w:lineRule="exact"/>
              <w:ind w:left="18" w:right="5"/>
              <w:jc w:val="center"/>
              <w:rPr>
                <w:sz w:val="24"/>
              </w:rPr>
            </w:pPr>
            <w:r>
              <w:rPr>
                <w:spacing w:val="-10"/>
                <w:sz w:val="24"/>
              </w:rPr>
              <w:t>2</w:t>
            </w:r>
          </w:p>
        </w:tc>
      </w:tr>
      <w:tr>
        <w:trPr>
          <w:trHeight w:val="321" w:hRule="atLeast"/>
        </w:trPr>
        <w:tc>
          <w:tcPr>
            <w:tcW w:w="3376" w:type="dxa"/>
            <w:shd w:val="clear" w:color="auto" w:fill="F0F0F0"/>
          </w:tcPr>
          <w:p>
            <w:pPr>
              <w:pStyle w:val="TableParagraph"/>
              <w:spacing w:line="301" w:lineRule="exact"/>
              <w:ind w:left="110"/>
              <w:rPr>
                <w:sz w:val="24"/>
              </w:rPr>
            </w:pPr>
            <w:r>
              <w:rPr>
                <w:spacing w:val="-2"/>
                <w:sz w:val="24"/>
              </w:rPr>
              <w:t>Sanga-Sanga</w:t>
            </w:r>
          </w:p>
        </w:tc>
        <w:tc>
          <w:tcPr>
            <w:tcW w:w="3275" w:type="dxa"/>
            <w:shd w:val="clear" w:color="auto" w:fill="F0F0F0"/>
          </w:tcPr>
          <w:p>
            <w:pPr>
              <w:pStyle w:val="TableParagraph"/>
              <w:spacing w:line="301" w:lineRule="exact"/>
              <w:ind w:left="18" w:right="5"/>
              <w:jc w:val="center"/>
              <w:rPr>
                <w:sz w:val="24"/>
              </w:rPr>
            </w:pPr>
            <w:r>
              <w:rPr>
                <w:spacing w:val="-10"/>
                <w:sz w:val="24"/>
              </w:rPr>
              <w:t>1</w:t>
            </w:r>
          </w:p>
        </w:tc>
      </w:tr>
      <w:tr>
        <w:trPr>
          <w:trHeight w:val="321" w:hRule="atLeast"/>
        </w:trPr>
        <w:tc>
          <w:tcPr>
            <w:tcW w:w="3376" w:type="dxa"/>
            <w:shd w:val="clear" w:color="auto" w:fill="F0F0F0"/>
          </w:tcPr>
          <w:p>
            <w:pPr>
              <w:pStyle w:val="TableParagraph"/>
              <w:spacing w:line="295" w:lineRule="exact"/>
              <w:ind w:left="110"/>
              <w:rPr>
                <w:b/>
                <w:sz w:val="24"/>
              </w:rPr>
            </w:pPr>
            <w:r>
              <w:rPr>
                <w:b/>
                <w:spacing w:val="-4"/>
                <w:sz w:val="24"/>
              </w:rPr>
              <w:t>Total</w:t>
            </w:r>
          </w:p>
        </w:tc>
        <w:tc>
          <w:tcPr>
            <w:tcW w:w="3275" w:type="dxa"/>
            <w:shd w:val="clear" w:color="auto" w:fill="F0F0F0"/>
          </w:tcPr>
          <w:p>
            <w:pPr>
              <w:pStyle w:val="TableParagraph"/>
              <w:spacing w:line="295" w:lineRule="exact"/>
              <w:ind w:left="18"/>
              <w:jc w:val="center"/>
              <w:rPr>
                <w:b/>
                <w:sz w:val="24"/>
              </w:rPr>
            </w:pPr>
            <w:r>
              <w:rPr>
                <w:b/>
                <w:spacing w:val="-5"/>
                <w:sz w:val="24"/>
              </w:rPr>
              <w:t>12</w:t>
            </w:r>
          </w:p>
        </w:tc>
      </w:tr>
    </w:tbl>
    <w:p>
      <w:pPr>
        <w:pStyle w:val="BodyText"/>
        <w:spacing w:line="242" w:lineRule="auto"/>
        <w:ind w:left="2698" w:hanging="855"/>
        <w:jc w:val="left"/>
      </w:pPr>
      <w:r>
        <w:rPr>
          <w:i/>
        </w:rPr>
        <w:t>Sumber: </w:t>
      </w:r>
      <w:r>
        <w:rPr/>
        <w:t>Direktorat Jenderal Bina Administrasi Kewilayahan Kemendagri, 2023</w:t>
      </w:r>
    </w:p>
    <w:p>
      <w:pPr>
        <w:pStyle w:val="BodyText"/>
        <w:spacing w:before="152"/>
        <w:jc w:val="left"/>
      </w:pPr>
    </w:p>
    <w:p>
      <w:pPr>
        <w:pStyle w:val="BodyText"/>
        <w:spacing w:line="360" w:lineRule="auto"/>
        <w:ind w:left="1843" w:right="700"/>
      </w:pPr>
      <w:r>
        <w:rPr/>
        <w:t>Dimasukkannya wilayah desa ke dalam IKN, bagi kepala desa, hal ini ditakutkan karena ini berarti jabatan mereka sebagai Kepala Desa akan dihapus. Ini dianggap kerugian besar bagi mereka.</w:t>
      </w:r>
      <w:r>
        <w:rPr>
          <w:spacing w:val="-9"/>
        </w:rPr>
        <w:t> </w:t>
      </w:r>
      <w:r>
        <w:rPr/>
        <w:t>Mereka</w:t>
      </w:r>
      <w:r>
        <w:rPr>
          <w:spacing w:val="-11"/>
        </w:rPr>
        <w:t> </w:t>
      </w:r>
      <w:r>
        <w:rPr/>
        <w:t>akan</w:t>
      </w:r>
      <w:r>
        <w:rPr>
          <w:spacing w:val="-11"/>
        </w:rPr>
        <w:t> </w:t>
      </w:r>
      <w:r>
        <w:rPr/>
        <w:t>kehilangan</w:t>
      </w:r>
      <w:r>
        <w:rPr>
          <w:spacing w:val="-6"/>
        </w:rPr>
        <w:t> </w:t>
      </w:r>
      <w:r>
        <w:rPr/>
        <w:t>kewenangan</w:t>
      </w:r>
      <w:r>
        <w:rPr>
          <w:spacing w:val="-7"/>
        </w:rPr>
        <w:t> </w:t>
      </w:r>
      <w:r>
        <w:rPr/>
        <w:t>dan</w:t>
      </w:r>
      <w:r>
        <w:rPr>
          <w:spacing w:val="-7"/>
        </w:rPr>
        <w:t> </w:t>
      </w:r>
      <w:r>
        <w:rPr/>
        <w:t>kehormatan sebagai pemimpin lokal di wilayah desa masing-masing, yang</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3"/>
      </w:pPr>
      <w:r>
        <w:rPr/>
        <w:t>telah dipercaya melalui pemilihan kepala desa (Pilkades). Ditambah lagi kekhawatiran hilangnya dana desa yang sudah menjadi penopang kegiatan desa.</w:t>
      </w:r>
    </w:p>
    <w:p>
      <w:pPr>
        <w:pStyle w:val="BodyText"/>
        <w:spacing w:before="165"/>
        <w:jc w:val="left"/>
      </w:pPr>
    </w:p>
    <w:p>
      <w:pPr>
        <w:pStyle w:val="BodyText"/>
        <w:spacing w:line="360" w:lineRule="auto"/>
        <w:ind w:left="1843" w:right="701"/>
      </w:pPr>
      <w:r>
        <w:rPr/>
        <w:t>Demikian pula menjadi pertanyaan apakah desa yang hanya sebagian wilayahnya diambil oleh IKN akan tetap menjadi 1 desa dengan nama yang sama atau berubah? Hal ini menimbulkan kekhawatiran terhadap keruwetan pengurusan dokumen dan lain sebagainya. Sebagai contoh, Desa Sungai Payang. Menurut Kepala Desa Sungai Payang, wilayah Desa Sungai Payang yang masuk ke dalam IKN terletak di bagian Selatan, yang berbatasan dengan Penajam Paser Utara. Luas wilayah</w:t>
      </w:r>
      <w:r>
        <w:rPr>
          <w:spacing w:val="-5"/>
        </w:rPr>
        <w:t> </w:t>
      </w:r>
      <w:r>
        <w:rPr/>
        <w:t>Desa</w:t>
      </w:r>
      <w:r>
        <w:rPr>
          <w:spacing w:val="-5"/>
        </w:rPr>
        <w:t> </w:t>
      </w:r>
      <w:r>
        <w:rPr/>
        <w:t>Sungai</w:t>
      </w:r>
      <w:r>
        <w:rPr>
          <w:spacing w:val="-4"/>
        </w:rPr>
        <w:t> </w:t>
      </w:r>
      <w:r>
        <w:rPr/>
        <w:t>Payang</w:t>
      </w:r>
      <w:r>
        <w:rPr>
          <w:spacing w:val="-5"/>
        </w:rPr>
        <w:t> </w:t>
      </w:r>
      <w:r>
        <w:rPr/>
        <w:t>adalah</w:t>
      </w:r>
      <w:r>
        <w:rPr>
          <w:spacing w:val="-5"/>
        </w:rPr>
        <w:t> </w:t>
      </w:r>
      <w:r>
        <w:rPr/>
        <w:t>sebesar</w:t>
      </w:r>
      <w:r>
        <w:rPr>
          <w:spacing w:val="-5"/>
        </w:rPr>
        <w:t> </w:t>
      </w:r>
      <w:r>
        <w:rPr/>
        <w:t>47.000</w:t>
      </w:r>
      <w:r>
        <w:rPr>
          <w:spacing w:val="-3"/>
        </w:rPr>
        <w:t> </w:t>
      </w:r>
      <w:r>
        <w:rPr/>
        <w:t>ha.</w:t>
      </w:r>
      <w:r>
        <w:rPr>
          <w:spacing w:val="-3"/>
        </w:rPr>
        <w:t> </w:t>
      </w:r>
      <w:r>
        <w:rPr/>
        <w:t>Namun, luas</w:t>
      </w:r>
      <w:r>
        <w:rPr>
          <w:spacing w:val="-17"/>
        </w:rPr>
        <w:t> </w:t>
      </w:r>
      <w:r>
        <w:rPr/>
        <w:t>lahan</w:t>
      </w:r>
      <w:r>
        <w:rPr>
          <w:spacing w:val="-16"/>
        </w:rPr>
        <w:t> </w:t>
      </w:r>
      <w:r>
        <w:rPr/>
        <w:t>yang</w:t>
      </w:r>
      <w:r>
        <w:rPr>
          <w:spacing w:val="-17"/>
        </w:rPr>
        <w:t> </w:t>
      </w:r>
      <w:r>
        <w:rPr/>
        <w:t>diambil</w:t>
      </w:r>
      <w:r>
        <w:rPr>
          <w:spacing w:val="-16"/>
        </w:rPr>
        <w:t> </w:t>
      </w:r>
      <w:r>
        <w:rPr/>
        <w:t>sebagai</w:t>
      </w:r>
      <w:r>
        <w:rPr>
          <w:spacing w:val="-17"/>
        </w:rPr>
        <w:t> </w:t>
      </w:r>
      <w:r>
        <w:rPr/>
        <w:t>lahan</w:t>
      </w:r>
      <w:r>
        <w:rPr>
          <w:spacing w:val="-16"/>
        </w:rPr>
        <w:t> </w:t>
      </w:r>
      <w:r>
        <w:rPr/>
        <w:t>IKN</w:t>
      </w:r>
      <w:r>
        <w:rPr>
          <w:spacing w:val="-17"/>
        </w:rPr>
        <w:t> </w:t>
      </w:r>
      <w:r>
        <w:rPr/>
        <w:t>hanya</w:t>
      </w:r>
      <w:r>
        <w:rPr>
          <w:spacing w:val="-16"/>
        </w:rPr>
        <w:t> </w:t>
      </w:r>
      <w:r>
        <w:rPr/>
        <w:t>sebesar</w:t>
      </w:r>
      <w:r>
        <w:rPr>
          <w:spacing w:val="-16"/>
        </w:rPr>
        <w:t> </w:t>
      </w:r>
      <w:r>
        <w:rPr/>
        <w:t>21.000 ha. Ini artinya, Desa Sungai Payang tinggal memiliki luas lahan</w:t>
      </w:r>
    </w:p>
    <w:p>
      <w:pPr>
        <w:pStyle w:val="BodyText"/>
        <w:spacing w:line="360" w:lineRule="auto"/>
        <w:ind w:left="1843" w:right="711"/>
      </w:pPr>
      <w:r>
        <w:rPr/>
        <w:t>26.000 ha. Sebagian besar wilayah yang diambil sebagai lahan IKN tersebut merupakan Kawasan Hutan Industri (HTI)</w:t>
      </w:r>
    </w:p>
    <w:p>
      <w:pPr>
        <w:pStyle w:val="BodyText"/>
        <w:spacing w:before="158"/>
        <w:jc w:val="left"/>
      </w:pPr>
    </w:p>
    <w:p>
      <w:pPr>
        <w:pStyle w:val="BodyText"/>
        <w:spacing w:line="360" w:lineRule="auto"/>
        <w:ind w:left="1843" w:right="699"/>
      </w:pPr>
      <w:r>
        <w:rPr/>
        <w:t>Hal itu juga akan dirasakan implikasinya oleh para anggota Badan</w:t>
      </w:r>
      <w:r>
        <w:rPr>
          <w:spacing w:val="-17"/>
        </w:rPr>
        <w:t> </w:t>
      </w:r>
      <w:r>
        <w:rPr/>
        <w:t>Permusyawaratan</w:t>
      </w:r>
      <w:r>
        <w:rPr>
          <w:spacing w:val="-16"/>
        </w:rPr>
        <w:t> </w:t>
      </w:r>
      <w:r>
        <w:rPr/>
        <w:t>Desa</w:t>
      </w:r>
      <w:r>
        <w:rPr>
          <w:spacing w:val="-17"/>
        </w:rPr>
        <w:t> </w:t>
      </w:r>
      <w:r>
        <w:rPr/>
        <w:t>(BPD)</w:t>
      </w:r>
      <w:r>
        <w:rPr>
          <w:spacing w:val="-16"/>
        </w:rPr>
        <w:t> </w:t>
      </w:r>
      <w:r>
        <w:rPr/>
        <w:t>setempat.</w:t>
      </w:r>
      <w:r>
        <w:rPr>
          <w:spacing w:val="-17"/>
        </w:rPr>
        <w:t> </w:t>
      </w:r>
      <w:r>
        <w:rPr/>
        <w:t>Hilangnya</w:t>
      </w:r>
      <w:r>
        <w:rPr>
          <w:spacing w:val="-16"/>
        </w:rPr>
        <w:t> </w:t>
      </w:r>
      <w:r>
        <w:rPr/>
        <w:t>status desa akan turut pula menghilangkan lembaga Badan Permusyawaratan Desa (BPD), yang merupakan lembaga penyalur</w:t>
      </w:r>
      <w:r>
        <w:rPr>
          <w:spacing w:val="-17"/>
        </w:rPr>
        <w:t> </w:t>
      </w:r>
      <w:r>
        <w:rPr/>
        <w:t>aspirasi</w:t>
      </w:r>
      <w:r>
        <w:rPr>
          <w:spacing w:val="-16"/>
        </w:rPr>
        <w:t> </w:t>
      </w:r>
      <w:r>
        <w:rPr/>
        <w:t>masyarakat</w:t>
      </w:r>
      <w:r>
        <w:rPr>
          <w:spacing w:val="-17"/>
        </w:rPr>
        <w:t> </w:t>
      </w:r>
      <w:r>
        <w:rPr/>
        <w:t>desa</w:t>
      </w:r>
      <w:r>
        <w:rPr>
          <w:spacing w:val="-16"/>
        </w:rPr>
        <w:t> </w:t>
      </w:r>
      <w:r>
        <w:rPr/>
        <w:t>dalam</w:t>
      </w:r>
      <w:r>
        <w:rPr>
          <w:spacing w:val="-17"/>
        </w:rPr>
        <w:t> </w:t>
      </w:r>
      <w:r>
        <w:rPr/>
        <w:t>pemerintahan.</w:t>
      </w:r>
      <w:r>
        <w:rPr>
          <w:spacing w:val="-16"/>
        </w:rPr>
        <w:t> </w:t>
      </w:r>
      <w:r>
        <w:rPr/>
        <w:t>Mereka sadar, jika wilayahnya terdelineasi dan menjadi bagian IKN, eksistensi</w:t>
      </w:r>
      <w:r>
        <w:rPr>
          <w:spacing w:val="-12"/>
        </w:rPr>
        <w:t> </w:t>
      </w:r>
      <w:r>
        <w:rPr/>
        <w:t>mereka</w:t>
      </w:r>
      <w:r>
        <w:rPr>
          <w:spacing w:val="-13"/>
        </w:rPr>
        <w:t> </w:t>
      </w:r>
      <w:r>
        <w:rPr/>
        <w:t>sebagai</w:t>
      </w:r>
      <w:r>
        <w:rPr>
          <w:spacing w:val="-12"/>
        </w:rPr>
        <w:t> </w:t>
      </w:r>
      <w:r>
        <w:rPr/>
        <w:t>pengemban</w:t>
      </w:r>
      <w:r>
        <w:rPr>
          <w:spacing w:val="-12"/>
        </w:rPr>
        <w:t> </w:t>
      </w:r>
      <w:r>
        <w:rPr/>
        <w:t>aspirasi</w:t>
      </w:r>
      <w:r>
        <w:rPr>
          <w:spacing w:val="-6"/>
        </w:rPr>
        <w:t> </w:t>
      </w:r>
      <w:r>
        <w:rPr/>
        <w:t>rakyat</w:t>
      </w:r>
      <w:r>
        <w:rPr>
          <w:spacing w:val="-12"/>
        </w:rPr>
        <w:t> </w:t>
      </w:r>
      <w:r>
        <w:rPr/>
        <w:t>di</w:t>
      </w:r>
      <w:r>
        <w:rPr>
          <w:spacing w:val="-12"/>
        </w:rPr>
        <w:t> </w:t>
      </w:r>
      <w:r>
        <w:rPr/>
        <w:t>tingkat terendah,</w:t>
      </w:r>
      <w:r>
        <w:rPr>
          <w:spacing w:val="-3"/>
        </w:rPr>
        <w:t> </w:t>
      </w:r>
      <w:r>
        <w:rPr/>
        <w:t>akan</w:t>
      </w:r>
      <w:r>
        <w:rPr>
          <w:spacing w:val="-5"/>
        </w:rPr>
        <w:t> </w:t>
      </w:r>
      <w:r>
        <w:rPr/>
        <w:t>hilang,</w:t>
      </w:r>
      <w:r>
        <w:rPr>
          <w:spacing w:val="-3"/>
        </w:rPr>
        <w:t> </w:t>
      </w:r>
      <w:r>
        <w:rPr/>
        <w:t>seiring</w:t>
      </w:r>
      <w:r>
        <w:rPr>
          <w:spacing w:val="-1"/>
        </w:rPr>
        <w:t> </w:t>
      </w:r>
      <w:r>
        <w:rPr/>
        <w:t>dengan</w:t>
      </w:r>
      <w:r>
        <w:rPr>
          <w:spacing w:val="-1"/>
        </w:rPr>
        <w:t> </w:t>
      </w:r>
      <w:r>
        <w:rPr/>
        <w:t>diambilnya</w:t>
      </w:r>
      <w:r>
        <w:rPr>
          <w:spacing w:val="-5"/>
        </w:rPr>
        <w:t> </w:t>
      </w:r>
      <w:r>
        <w:rPr/>
        <w:t>desa</w:t>
      </w:r>
      <w:r>
        <w:rPr>
          <w:spacing w:val="-5"/>
        </w:rPr>
        <w:t> </w:t>
      </w:r>
      <w:r>
        <w:rPr/>
        <w:t>mereka. Inilah antara lain </w:t>
      </w:r>
      <w:r>
        <w:rPr>
          <w:i/>
        </w:rPr>
        <w:t>political cost </w:t>
      </w:r>
      <w:r>
        <w:rPr/>
        <w:t>yang harus dibayar wilayah- wilayah yang terdelineasi.</w:t>
      </w:r>
    </w:p>
    <w:p>
      <w:pPr>
        <w:pStyle w:val="BodyText"/>
        <w:spacing w:after="0" w:line="360" w:lineRule="auto"/>
        <w:sectPr>
          <w:pgSz w:w="11910" w:h="16840"/>
          <w:pgMar w:header="0" w:footer="1186" w:top="1580" w:bottom="1380" w:left="1700" w:right="992"/>
        </w:sectPr>
      </w:pPr>
    </w:p>
    <w:p>
      <w:pPr>
        <w:pStyle w:val="BodyText"/>
        <w:spacing w:line="360" w:lineRule="auto" w:before="227"/>
        <w:ind w:left="1843" w:right="699"/>
      </w:pPr>
      <w:r>
        <w:rPr/>
        <w:t>Namun,</w:t>
      </w:r>
      <w:r>
        <w:rPr>
          <w:spacing w:val="-5"/>
        </w:rPr>
        <w:t> </w:t>
      </w:r>
      <w:r>
        <w:rPr/>
        <w:t>menurut</w:t>
      </w:r>
      <w:r>
        <w:rPr>
          <w:spacing w:val="-5"/>
        </w:rPr>
        <w:t> </w:t>
      </w:r>
      <w:r>
        <w:rPr/>
        <w:t>Direktorat</w:t>
      </w:r>
      <w:r>
        <w:rPr>
          <w:spacing w:val="-5"/>
        </w:rPr>
        <w:t> </w:t>
      </w:r>
      <w:r>
        <w:rPr/>
        <w:t>Jenderal</w:t>
      </w:r>
      <w:r>
        <w:rPr>
          <w:spacing w:val="-6"/>
        </w:rPr>
        <w:t> </w:t>
      </w:r>
      <w:r>
        <w:rPr/>
        <w:t>Bina</w:t>
      </w:r>
      <w:r>
        <w:rPr>
          <w:spacing w:val="-7"/>
        </w:rPr>
        <w:t> </w:t>
      </w:r>
      <w:r>
        <w:rPr/>
        <w:t>Administrasi</w:t>
      </w:r>
      <w:r>
        <w:rPr>
          <w:spacing w:val="-6"/>
        </w:rPr>
        <w:t> </w:t>
      </w:r>
      <w:r>
        <w:rPr/>
        <w:t>Wilayah Kemendagri, belum tentu seluruh desa (12 desa di Kabupaten Kutai Kartanegara) yang wilayahnya diambil IKN akan dihapus sebagai desa. Untuk desa yang seluruh wilayahnya masuk ke wilayah IKN (3 desa di Kecamatan Samboja dan 1 desa di Kecamatan</w:t>
      </w:r>
      <w:r>
        <w:rPr>
          <w:spacing w:val="-6"/>
        </w:rPr>
        <w:t> </w:t>
      </w:r>
      <w:r>
        <w:rPr/>
        <w:t>Samboja</w:t>
      </w:r>
      <w:r>
        <w:rPr>
          <w:spacing w:val="-7"/>
        </w:rPr>
        <w:t> </w:t>
      </w:r>
      <w:r>
        <w:rPr/>
        <w:t>Barat)</w:t>
      </w:r>
      <w:r>
        <w:rPr>
          <w:spacing w:val="-5"/>
        </w:rPr>
        <w:t> </w:t>
      </w:r>
      <w:r>
        <w:rPr/>
        <w:t>bisa</w:t>
      </w:r>
      <w:r>
        <w:rPr>
          <w:spacing w:val="-7"/>
        </w:rPr>
        <w:t> </w:t>
      </w:r>
      <w:r>
        <w:rPr/>
        <w:t>jadi</w:t>
      </w:r>
      <w:r>
        <w:rPr>
          <w:spacing w:val="-2"/>
        </w:rPr>
        <w:t> </w:t>
      </w:r>
      <w:r>
        <w:rPr/>
        <w:t>akan</w:t>
      </w:r>
      <w:r>
        <w:rPr>
          <w:spacing w:val="-7"/>
        </w:rPr>
        <w:t> </w:t>
      </w:r>
      <w:r>
        <w:rPr/>
        <w:t>hilang.</w:t>
      </w:r>
      <w:r>
        <w:rPr>
          <w:spacing w:val="-4"/>
        </w:rPr>
        <w:t> </w:t>
      </w:r>
      <w:r>
        <w:rPr/>
        <w:t>Namun,</w:t>
      </w:r>
      <w:r>
        <w:rPr>
          <w:spacing w:val="-4"/>
        </w:rPr>
        <w:t> </w:t>
      </w:r>
      <w:r>
        <w:rPr/>
        <w:t>untuk 1</w:t>
      </w:r>
      <w:r>
        <w:rPr>
          <w:spacing w:val="-17"/>
        </w:rPr>
        <w:t> </w:t>
      </w:r>
      <w:r>
        <w:rPr/>
        <w:t>desa</w:t>
      </w:r>
      <w:r>
        <w:rPr>
          <w:spacing w:val="-16"/>
        </w:rPr>
        <w:t> </w:t>
      </w:r>
      <w:r>
        <w:rPr/>
        <w:t>di</w:t>
      </w:r>
      <w:r>
        <w:rPr>
          <w:spacing w:val="-17"/>
        </w:rPr>
        <w:t> </w:t>
      </w:r>
      <w:r>
        <w:rPr/>
        <w:t>Sanga-Sanga,</w:t>
      </w:r>
      <w:r>
        <w:rPr>
          <w:spacing w:val="-16"/>
        </w:rPr>
        <w:t> </w:t>
      </w:r>
      <w:r>
        <w:rPr/>
        <w:t>menurut</w:t>
      </w:r>
      <w:r>
        <w:rPr>
          <w:spacing w:val="-15"/>
        </w:rPr>
        <w:t> </w:t>
      </w:r>
      <w:r>
        <w:rPr/>
        <w:t>informasi</w:t>
      </w:r>
      <w:r>
        <w:rPr>
          <w:spacing w:val="-16"/>
        </w:rPr>
        <w:t> </w:t>
      </w:r>
      <w:r>
        <w:rPr/>
        <w:t>wilayah</w:t>
      </w:r>
      <w:r>
        <w:rPr>
          <w:spacing w:val="-16"/>
        </w:rPr>
        <w:t> </w:t>
      </w:r>
      <w:r>
        <w:rPr/>
        <w:t>yang</w:t>
      </w:r>
      <w:r>
        <w:rPr>
          <w:spacing w:val="-17"/>
        </w:rPr>
        <w:t> </w:t>
      </w:r>
      <w:r>
        <w:rPr/>
        <w:t>diambil IKN tidak dihuni masyarakat, hanya ada tambang migas. Termasuk Desa Sungai Payang, yang lahan HTI saja yang diambil IKN. Untuk desa seperti ini, yang tidak seluruh wilayah administrasinya diambil, kemungkinan desa sebagai wilayah administrasi akan tetap dipertahankan. Ini artinya, keberadaan kepala</w:t>
      </w:r>
      <w:r>
        <w:rPr>
          <w:spacing w:val="-17"/>
        </w:rPr>
        <w:t> </w:t>
      </w:r>
      <w:r>
        <w:rPr/>
        <w:t>desa,</w:t>
      </w:r>
      <w:r>
        <w:rPr>
          <w:spacing w:val="-16"/>
        </w:rPr>
        <w:t> </w:t>
      </w:r>
      <w:r>
        <w:rPr/>
        <w:t>BPD,</w:t>
      </w:r>
      <w:r>
        <w:rPr>
          <w:spacing w:val="-17"/>
        </w:rPr>
        <w:t> </w:t>
      </w:r>
      <w:r>
        <w:rPr/>
        <w:t>termasuk</w:t>
      </w:r>
      <w:r>
        <w:rPr>
          <w:spacing w:val="-15"/>
        </w:rPr>
        <w:t> </w:t>
      </w:r>
      <w:r>
        <w:rPr/>
        <w:t>dana</w:t>
      </w:r>
      <w:r>
        <w:rPr>
          <w:spacing w:val="-17"/>
        </w:rPr>
        <w:t> </w:t>
      </w:r>
      <w:r>
        <w:rPr/>
        <w:t>desa</w:t>
      </w:r>
      <w:r>
        <w:rPr>
          <w:spacing w:val="-16"/>
        </w:rPr>
        <w:t> </w:t>
      </w:r>
      <w:r>
        <w:rPr/>
        <w:t>tetap</w:t>
      </w:r>
      <w:r>
        <w:rPr>
          <w:spacing w:val="-17"/>
        </w:rPr>
        <w:t> </w:t>
      </w:r>
      <w:r>
        <w:rPr/>
        <w:t>dipertahankan,</w:t>
      </w:r>
      <w:r>
        <w:rPr>
          <w:spacing w:val="-14"/>
        </w:rPr>
        <w:t> </w:t>
      </w:r>
      <w:r>
        <w:rPr/>
        <w:t>dan tidak mengalami perubahan.</w:t>
      </w:r>
    </w:p>
    <w:p>
      <w:pPr>
        <w:pStyle w:val="BodyText"/>
        <w:spacing w:before="160"/>
        <w:jc w:val="left"/>
      </w:pPr>
    </w:p>
    <w:p>
      <w:pPr>
        <w:pStyle w:val="ListParagraph"/>
        <w:numPr>
          <w:ilvl w:val="3"/>
          <w:numId w:val="32"/>
        </w:numPr>
        <w:tabs>
          <w:tab w:pos="1843" w:val="left" w:leader="none"/>
        </w:tabs>
        <w:spacing w:line="360" w:lineRule="auto" w:before="0" w:after="0"/>
        <w:ind w:left="1843" w:right="726" w:hanging="360"/>
        <w:jc w:val="left"/>
        <w:rPr>
          <w:sz w:val="24"/>
        </w:rPr>
      </w:pPr>
      <w:r>
        <w:rPr>
          <w:b/>
          <w:sz w:val="24"/>
        </w:rPr>
        <w:t>Status Desa: Berubah Menjadi Kelurahan atau Tetap? </w:t>
      </w:r>
      <w:r>
        <w:rPr>
          <w:sz w:val="24"/>
        </w:rPr>
        <w:t>Demikian pula adanya wacana bahwa dalam wilayah IKN tidak akan ada lagi desa, melainkan kelurahan. Hal ini berarti desa- desa yang terdelienasi akan berubah sistem pemerintahan menjadi kelurahan. Perubahan ini menjadikan keberatan bagi desa,</w:t>
      </w:r>
      <w:r>
        <w:rPr>
          <w:spacing w:val="-10"/>
          <w:sz w:val="24"/>
        </w:rPr>
        <w:t> </w:t>
      </w:r>
      <w:r>
        <w:rPr>
          <w:sz w:val="24"/>
        </w:rPr>
        <w:t>sebagaimana</w:t>
      </w:r>
      <w:r>
        <w:rPr>
          <w:spacing w:val="-12"/>
          <w:sz w:val="24"/>
        </w:rPr>
        <w:t> </w:t>
      </w:r>
      <w:r>
        <w:rPr>
          <w:sz w:val="24"/>
        </w:rPr>
        <w:t>dinyatakan</w:t>
      </w:r>
      <w:r>
        <w:rPr>
          <w:spacing w:val="-12"/>
          <w:sz w:val="24"/>
        </w:rPr>
        <w:t> </w:t>
      </w:r>
      <w:r>
        <w:rPr>
          <w:sz w:val="24"/>
        </w:rPr>
        <w:t>oleh</w:t>
      </w:r>
      <w:r>
        <w:rPr>
          <w:spacing w:val="-12"/>
          <w:sz w:val="24"/>
        </w:rPr>
        <w:t> </w:t>
      </w:r>
      <w:r>
        <w:rPr>
          <w:sz w:val="24"/>
        </w:rPr>
        <w:t>informan</w:t>
      </w:r>
      <w:r>
        <w:rPr>
          <w:spacing w:val="-11"/>
          <w:sz w:val="24"/>
        </w:rPr>
        <w:t> </w:t>
      </w:r>
      <w:r>
        <w:rPr>
          <w:sz w:val="24"/>
        </w:rPr>
        <w:t>dari</w:t>
      </w:r>
      <w:r>
        <w:rPr>
          <w:spacing w:val="-11"/>
          <w:sz w:val="24"/>
        </w:rPr>
        <w:t> </w:t>
      </w:r>
      <w:r>
        <w:rPr>
          <w:sz w:val="24"/>
        </w:rPr>
        <w:t>Desa</w:t>
      </w:r>
      <w:r>
        <w:rPr>
          <w:spacing w:val="-12"/>
          <w:sz w:val="24"/>
        </w:rPr>
        <w:t> </w:t>
      </w:r>
      <w:r>
        <w:rPr>
          <w:sz w:val="24"/>
        </w:rPr>
        <w:t>Batuah.</w:t>
      </w:r>
    </w:p>
    <w:p>
      <w:pPr>
        <w:pStyle w:val="BodyText"/>
        <w:spacing w:before="159"/>
        <w:jc w:val="left"/>
      </w:pPr>
    </w:p>
    <w:p>
      <w:pPr>
        <w:pStyle w:val="BodyText"/>
        <w:spacing w:line="360" w:lineRule="auto"/>
        <w:ind w:left="1843" w:right="703"/>
      </w:pPr>
      <w:r>
        <w:rPr/>
        <w:t>Wacana yang beredar menyatakan bahwa wilayah desa yang terdelienasi akan berubah menjadi kelurahan. Perubahan ini dinilai akan menyulitkan masyarakat secara administratif pemerintahan, karena harus dilakukan perubahan dokumen administratif. Selain itu menjadikan pertanyaan pula,</w:t>
      </w:r>
    </w:p>
    <w:p>
      <w:pPr>
        <w:pStyle w:val="BodyText"/>
        <w:spacing w:after="0" w:line="360" w:lineRule="auto"/>
        <w:sectPr>
          <w:pgSz w:w="11910" w:h="16840"/>
          <w:pgMar w:header="0" w:footer="1186" w:top="1920" w:bottom="1380" w:left="1700" w:right="992"/>
        </w:sectPr>
      </w:pPr>
    </w:p>
    <w:p>
      <w:pPr>
        <w:pStyle w:val="BodyText"/>
        <w:spacing w:line="360" w:lineRule="auto" w:before="82"/>
        <w:ind w:left="1843" w:right="700"/>
      </w:pPr>
      <w:r>
        <w:rPr/>
        <w:t>bagaimana pelayanan masyarakat akan dilakukan didaerah yang terdelienasi IKN. apakah pelayanan akan sama, dan apakah pembangunan yang nantinya akan dilakukan akan berjalan seiring antara desa yang masuk dalam delienasi IKN dan desa yang tetap menjadi bagian Kabupaten Kutai </w:t>
      </w:r>
      <w:r>
        <w:rPr>
          <w:spacing w:val="-2"/>
        </w:rPr>
        <w:t>Kartanegara.</w:t>
      </w:r>
    </w:p>
    <w:p>
      <w:pPr>
        <w:pStyle w:val="BodyText"/>
        <w:spacing w:before="159"/>
        <w:jc w:val="left"/>
      </w:pPr>
    </w:p>
    <w:p>
      <w:pPr>
        <w:pStyle w:val="Heading2"/>
        <w:numPr>
          <w:ilvl w:val="3"/>
          <w:numId w:val="32"/>
        </w:numPr>
        <w:tabs>
          <w:tab w:pos="1842" w:val="left" w:leader="none"/>
        </w:tabs>
        <w:spacing w:line="240" w:lineRule="auto" w:before="0" w:after="0"/>
        <w:ind w:left="1842" w:right="0" w:hanging="359"/>
        <w:jc w:val="both"/>
      </w:pPr>
      <w:r>
        <w:rPr/>
        <w:t>Pengakuan</w:t>
      </w:r>
      <w:r>
        <w:rPr>
          <w:spacing w:val="-9"/>
        </w:rPr>
        <w:t> </w:t>
      </w:r>
      <w:r>
        <w:rPr/>
        <w:t>Tanah</w:t>
      </w:r>
      <w:r>
        <w:rPr>
          <w:spacing w:val="-8"/>
        </w:rPr>
        <w:t> </w:t>
      </w:r>
      <w:r>
        <w:rPr>
          <w:spacing w:val="-2"/>
        </w:rPr>
        <w:t>Adat/Ulayat</w:t>
      </w:r>
    </w:p>
    <w:p>
      <w:pPr>
        <w:pStyle w:val="BodyText"/>
        <w:spacing w:line="360" w:lineRule="auto" w:before="161"/>
        <w:ind w:left="1843" w:right="700"/>
      </w:pPr>
      <w:r>
        <w:rPr/>
        <w:t>Bupati Kutai Kartanegara menklaim bahwa ada tanah adat/ulayat</w:t>
      </w:r>
      <w:r>
        <w:rPr>
          <w:spacing w:val="-9"/>
        </w:rPr>
        <w:t> </w:t>
      </w:r>
      <w:r>
        <w:rPr/>
        <w:t>di</w:t>
      </w:r>
      <w:r>
        <w:rPr>
          <w:spacing w:val="-10"/>
        </w:rPr>
        <w:t> </w:t>
      </w:r>
      <w:r>
        <w:rPr/>
        <w:t>wilayah</w:t>
      </w:r>
      <w:r>
        <w:rPr>
          <w:spacing w:val="-11"/>
        </w:rPr>
        <w:t> </w:t>
      </w:r>
      <w:r>
        <w:rPr/>
        <w:t>yang</w:t>
      </w:r>
      <w:r>
        <w:rPr>
          <w:spacing w:val="-12"/>
        </w:rPr>
        <w:t> </w:t>
      </w:r>
      <w:r>
        <w:rPr/>
        <w:t>diambil</w:t>
      </w:r>
      <w:r>
        <w:rPr>
          <w:spacing w:val="-10"/>
        </w:rPr>
        <w:t> </w:t>
      </w:r>
      <w:r>
        <w:rPr/>
        <w:t>oleh</w:t>
      </w:r>
      <w:r>
        <w:rPr>
          <w:spacing w:val="-11"/>
        </w:rPr>
        <w:t> </w:t>
      </w:r>
      <w:r>
        <w:rPr/>
        <w:t>IKN.</w:t>
      </w:r>
      <w:r>
        <w:rPr>
          <w:spacing w:val="-13"/>
        </w:rPr>
        <w:t> </w:t>
      </w:r>
      <w:r>
        <w:rPr/>
        <w:t>Ada</w:t>
      </w:r>
      <w:r>
        <w:rPr>
          <w:spacing w:val="-12"/>
        </w:rPr>
        <w:t> </w:t>
      </w:r>
      <w:r>
        <w:rPr/>
        <w:t>kekhawatiran apabila</w:t>
      </w:r>
      <w:r>
        <w:rPr>
          <w:spacing w:val="-4"/>
        </w:rPr>
        <w:t> </w:t>
      </w:r>
      <w:r>
        <w:rPr/>
        <w:t>hak</w:t>
      </w:r>
      <w:r>
        <w:rPr>
          <w:spacing w:val="-2"/>
        </w:rPr>
        <w:t> </w:t>
      </w:r>
      <w:r>
        <w:rPr/>
        <w:t>atas</w:t>
      </w:r>
      <w:r>
        <w:rPr>
          <w:spacing w:val="-3"/>
        </w:rPr>
        <w:t> </w:t>
      </w:r>
      <w:r>
        <w:rPr/>
        <w:t>tanah</w:t>
      </w:r>
      <w:r>
        <w:rPr>
          <w:spacing w:val="-3"/>
        </w:rPr>
        <w:t> </w:t>
      </w:r>
      <w:r>
        <w:rPr/>
        <w:t>adat/ulayat</w:t>
      </w:r>
      <w:r>
        <w:rPr>
          <w:spacing w:val="-2"/>
        </w:rPr>
        <w:t> </w:t>
      </w:r>
      <w:r>
        <w:rPr/>
        <w:t>ini</w:t>
      </w:r>
      <w:r>
        <w:rPr>
          <w:spacing w:val="-2"/>
        </w:rPr>
        <w:t> </w:t>
      </w:r>
      <w:r>
        <w:rPr/>
        <w:t>tidak</w:t>
      </w:r>
      <w:r>
        <w:rPr>
          <w:spacing w:val="-2"/>
        </w:rPr>
        <w:t> </w:t>
      </w:r>
      <w:r>
        <w:rPr/>
        <w:t>diperhatikan/diakui oleh Pemerintah Pusat, akan menimbulkan persoalan di kemudian hari, yakni.pembangunan IKN menjadi terhambat. Persoalan</w:t>
      </w:r>
      <w:r>
        <w:rPr>
          <w:spacing w:val="-1"/>
        </w:rPr>
        <w:t> </w:t>
      </w:r>
      <w:r>
        <w:rPr/>
        <w:t>ini harus mendapat perhatian dari Pemerintah</w:t>
      </w:r>
      <w:r>
        <w:rPr>
          <w:spacing w:val="-1"/>
        </w:rPr>
        <w:t> </w:t>
      </w:r>
      <w:r>
        <w:rPr/>
        <w:t>OIKN.</w:t>
      </w:r>
    </w:p>
    <w:p>
      <w:pPr>
        <w:pStyle w:val="BodyText"/>
        <w:spacing w:before="164"/>
        <w:jc w:val="left"/>
      </w:pPr>
    </w:p>
    <w:p>
      <w:pPr>
        <w:pStyle w:val="BodyText"/>
        <w:spacing w:line="360" w:lineRule="auto"/>
        <w:ind w:left="1843" w:right="701"/>
      </w:pPr>
      <w:r>
        <w:rPr/>
        <w:t>Dalam kegiatan penelitian yang dilakukan Tim, tampak bahwa persoalan tanah masih menjadi persoalan yang banyak ditemukan. Namun, berbicara mengenai tanah adat/ulayat sedikit berbeda, mengingat penguasaan tanah dilakukan oleh Adat, bukan perorangan. Oleh karena itu, karena menyangkut komunitas masyarakat, persoalan tanah ulayat menjadi persoalan besar yang harus segera diatasi.</w:t>
      </w:r>
    </w:p>
    <w:p>
      <w:pPr>
        <w:pStyle w:val="BodyText"/>
        <w:spacing w:before="160"/>
        <w:jc w:val="left"/>
      </w:pPr>
    </w:p>
    <w:p>
      <w:pPr>
        <w:pStyle w:val="Heading2"/>
        <w:numPr>
          <w:ilvl w:val="3"/>
          <w:numId w:val="32"/>
        </w:numPr>
        <w:tabs>
          <w:tab w:pos="1842" w:val="left" w:leader="none"/>
        </w:tabs>
        <w:spacing w:line="240" w:lineRule="auto" w:before="0" w:after="0"/>
        <w:ind w:left="1842" w:right="0" w:hanging="359"/>
        <w:jc w:val="both"/>
      </w:pPr>
      <w:r>
        <w:rPr/>
        <w:t>Aparatur</w:t>
      </w:r>
      <w:r>
        <w:rPr>
          <w:spacing w:val="-9"/>
        </w:rPr>
        <w:t> </w:t>
      </w:r>
      <w:r>
        <w:rPr/>
        <w:t>Sipil</w:t>
      </w:r>
      <w:r>
        <w:rPr>
          <w:spacing w:val="-10"/>
        </w:rPr>
        <w:t> </w:t>
      </w:r>
      <w:r>
        <w:rPr>
          <w:spacing w:val="-2"/>
        </w:rPr>
        <w:t>Negara</w:t>
      </w:r>
    </w:p>
    <w:p>
      <w:pPr>
        <w:pStyle w:val="BodyText"/>
        <w:spacing w:line="360" w:lineRule="auto" w:before="161"/>
        <w:ind w:left="1843" w:right="697"/>
      </w:pPr>
      <w:r>
        <w:rPr/>
        <w:t>Dampak IKN juga terkena pada Aparatur Sipil Negara di Kabupaten Kutai Kartanegara. Menurut pihak BKSDM Pemerintah Kabupaten Kutai Kartanegara, belum ada tindakan antisipasi</w:t>
      </w:r>
      <w:r>
        <w:rPr>
          <w:spacing w:val="40"/>
        </w:rPr>
        <w:t> </w:t>
      </w:r>
      <w:r>
        <w:rPr/>
        <w:t>terhadap</w:t>
      </w:r>
      <w:r>
        <w:rPr>
          <w:spacing w:val="40"/>
        </w:rPr>
        <w:t> </w:t>
      </w:r>
      <w:r>
        <w:rPr/>
        <w:t>kemungkinan</w:t>
      </w:r>
      <w:r>
        <w:rPr>
          <w:spacing w:val="40"/>
        </w:rPr>
        <w:t> </w:t>
      </w:r>
      <w:r>
        <w:rPr/>
        <w:t>pengalihan</w:t>
      </w:r>
      <w:r>
        <w:rPr>
          <w:spacing w:val="40"/>
        </w:rPr>
        <w:t> </w:t>
      </w:r>
      <w:r>
        <w:rPr/>
        <w:t>ASN</w:t>
      </w:r>
      <w:r>
        <w:rPr>
          <w:spacing w:val="40"/>
        </w:rPr>
        <w:t> </w:t>
      </w:r>
      <w:r>
        <w:rPr/>
        <w:t>dari</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4"/>
      </w:pPr>
      <w:r>
        <w:rPr/>
        <w:t>Pemerintah Kabupaten Kutai Kartanegara ke OIKN, terutama bagi ASN yang melayani di rumah sakit, sekolah, maupun Puskesmas</w:t>
      </w:r>
      <w:r>
        <w:rPr>
          <w:spacing w:val="-17"/>
        </w:rPr>
        <w:t> </w:t>
      </w:r>
      <w:r>
        <w:rPr/>
        <w:t>yang</w:t>
      </w:r>
      <w:r>
        <w:rPr>
          <w:spacing w:val="-16"/>
        </w:rPr>
        <w:t> </w:t>
      </w:r>
      <w:r>
        <w:rPr/>
        <w:t>ada</w:t>
      </w:r>
      <w:r>
        <w:rPr>
          <w:spacing w:val="-17"/>
        </w:rPr>
        <w:t> </w:t>
      </w:r>
      <w:r>
        <w:rPr/>
        <w:t>di</w:t>
      </w:r>
      <w:r>
        <w:rPr>
          <w:spacing w:val="-16"/>
        </w:rPr>
        <w:t> </w:t>
      </w:r>
      <w:r>
        <w:rPr/>
        <w:t>wilayah</w:t>
      </w:r>
      <w:r>
        <w:rPr>
          <w:spacing w:val="-17"/>
        </w:rPr>
        <w:t> </w:t>
      </w:r>
      <w:r>
        <w:rPr/>
        <w:t>terkena</w:t>
      </w:r>
      <w:r>
        <w:rPr>
          <w:spacing w:val="-16"/>
        </w:rPr>
        <w:t> </w:t>
      </w:r>
      <w:r>
        <w:rPr/>
        <w:t>delineasi</w:t>
      </w:r>
      <w:r>
        <w:rPr>
          <w:spacing w:val="-17"/>
        </w:rPr>
        <w:t> </w:t>
      </w:r>
      <w:r>
        <w:rPr/>
        <w:t>IKN.</w:t>
      </w:r>
      <w:r>
        <w:rPr>
          <w:spacing w:val="-16"/>
        </w:rPr>
        <w:t> </w:t>
      </w:r>
      <w:r>
        <w:rPr/>
        <w:t>Walaupun dari sisi anggaran, menurut informasi dari Direktorat Jenderal Perimbangan Keuangan Kementerian Keuangan, bahwa APB IKN telah diperhitungkan nantinya untuk membayar pegawai OIKN dan ASN eks pemerintah daerah. Namun, memang kebijakan ini akan dikembalikan kepada pihak OIKN (FGD, 14 November 2023 dengan Iwan Setiawan, Analis Kebijakan </w:t>
      </w:r>
      <w:r>
        <w:rPr>
          <w:spacing w:val="-2"/>
        </w:rPr>
        <w:t>Kemenkeu).</w:t>
      </w:r>
    </w:p>
    <w:p>
      <w:pPr>
        <w:pStyle w:val="BodyText"/>
        <w:spacing w:before="164"/>
        <w:jc w:val="left"/>
      </w:pPr>
    </w:p>
    <w:p>
      <w:pPr>
        <w:pStyle w:val="BodyText"/>
        <w:spacing w:line="360" w:lineRule="auto"/>
        <w:ind w:left="1843" w:right="705"/>
      </w:pPr>
      <w:r>
        <w:rPr/>
        <w:t>Dalam kaitannya dengan politik, prsoalan yang dikaitkan dengan ASN, yakni adanya kekhawatiran dari Pemerintah Daerah Kabupaten Kutai Kartanegara akan terjadinya sikap diskriminasi dan kecemburuan sosial di kalangan ASN, antara yang akan menjadi pegawai OIKN atau tetap menjadi pegawai Pemerintah Kabupaten Kutai Kartanegara (Wawancara dengan Kepala BKPSDM Kutai Kartanegara, Rahmadi, tanggal 23 Oktober</w:t>
      </w:r>
      <w:r>
        <w:rPr>
          <w:spacing w:val="-17"/>
        </w:rPr>
        <w:t> </w:t>
      </w:r>
      <w:r>
        <w:rPr/>
        <w:t>2023).</w:t>
      </w:r>
      <w:r>
        <w:rPr>
          <w:spacing w:val="-16"/>
        </w:rPr>
        <w:t> </w:t>
      </w:r>
      <w:r>
        <w:rPr/>
        <w:t>Diketahui,</w:t>
      </w:r>
      <w:r>
        <w:rPr>
          <w:spacing w:val="-17"/>
        </w:rPr>
        <w:t> </w:t>
      </w:r>
      <w:r>
        <w:rPr/>
        <w:t>jumlah</w:t>
      </w:r>
      <w:r>
        <w:rPr>
          <w:spacing w:val="-16"/>
        </w:rPr>
        <w:t> </w:t>
      </w:r>
      <w:r>
        <w:rPr/>
        <w:t>ASN</w:t>
      </w:r>
      <w:r>
        <w:rPr>
          <w:spacing w:val="-17"/>
        </w:rPr>
        <w:t> </w:t>
      </w:r>
      <w:r>
        <w:rPr/>
        <w:t>di</w:t>
      </w:r>
      <w:r>
        <w:rPr>
          <w:spacing w:val="-16"/>
        </w:rPr>
        <w:t> </w:t>
      </w:r>
      <w:r>
        <w:rPr/>
        <w:t>Pemerintah</w:t>
      </w:r>
      <w:r>
        <w:rPr>
          <w:spacing w:val="-17"/>
        </w:rPr>
        <w:t> </w:t>
      </w:r>
      <w:r>
        <w:rPr/>
        <w:t>Kabupaten Kutai Kartanegara</w:t>
      </w:r>
      <w:r>
        <w:rPr>
          <w:spacing w:val="-1"/>
        </w:rPr>
        <w:t> </w:t>
      </w:r>
      <w:r>
        <w:rPr/>
        <w:t>ada</w:t>
      </w:r>
      <w:r>
        <w:rPr>
          <w:spacing w:val="-1"/>
        </w:rPr>
        <w:t> </w:t>
      </w:r>
      <w:r>
        <w:rPr/>
        <w:t>12 ribu personil, dengan sebagian besar terdiri dari pegawai profesional guru dan tenaga penyuluh </w:t>
      </w:r>
      <w:r>
        <w:rPr>
          <w:spacing w:val="-2"/>
        </w:rPr>
        <w:t>kesehatan.</w:t>
      </w:r>
    </w:p>
    <w:p>
      <w:pPr>
        <w:pStyle w:val="BodyText"/>
        <w:spacing w:before="161"/>
        <w:jc w:val="left"/>
      </w:pPr>
    </w:p>
    <w:p>
      <w:pPr>
        <w:pStyle w:val="BodyText"/>
        <w:spacing w:line="360" w:lineRule="auto"/>
        <w:ind w:left="1843" w:right="703"/>
      </w:pPr>
      <w:r>
        <w:rPr/>
        <w:t>Selanjutnya, baik di wilayah yang diambil seluruhnya maupun yang sedikit saja, ataupun yang mencapai setengahnya, kekuatiran</w:t>
      </w:r>
      <w:r>
        <w:rPr>
          <w:spacing w:val="-3"/>
        </w:rPr>
        <w:t> </w:t>
      </w:r>
      <w:r>
        <w:rPr/>
        <w:t>muncul</w:t>
      </w:r>
      <w:r>
        <w:rPr>
          <w:spacing w:val="-3"/>
        </w:rPr>
        <w:t> </w:t>
      </w:r>
      <w:r>
        <w:rPr/>
        <w:t>terhadap</w:t>
      </w:r>
      <w:r>
        <w:rPr>
          <w:spacing w:val="-3"/>
        </w:rPr>
        <w:t> </w:t>
      </w:r>
      <w:r>
        <w:rPr/>
        <w:t>status</w:t>
      </w:r>
      <w:r>
        <w:rPr>
          <w:spacing w:val="-3"/>
        </w:rPr>
        <w:t> </w:t>
      </w:r>
      <w:r>
        <w:rPr/>
        <w:t>ASN,</w:t>
      </w:r>
      <w:r>
        <w:rPr>
          <w:spacing w:val="-2"/>
        </w:rPr>
        <w:t> </w:t>
      </w:r>
      <w:r>
        <w:rPr/>
        <w:t>apakah</w:t>
      </w:r>
      <w:r>
        <w:rPr>
          <w:spacing w:val="-3"/>
        </w:rPr>
        <w:t> </w:t>
      </w:r>
      <w:r>
        <w:rPr/>
        <w:t>akan</w:t>
      </w:r>
      <w:r>
        <w:rPr>
          <w:spacing w:val="-3"/>
        </w:rPr>
        <w:t> </w:t>
      </w:r>
      <w:r>
        <w:rPr/>
        <w:t>dialihkan secara otomatis sebagai ASN pusat (IKN) atau tetap berinduk pada Pemerintah Kabupaten Kutai Kartanegara. Jikapun secara</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0"/>
      </w:pPr>
      <w:r>
        <w:rPr/>
        <w:t>otomatis</w:t>
      </w:r>
      <w:r>
        <w:rPr>
          <w:spacing w:val="-16"/>
        </w:rPr>
        <w:t> </w:t>
      </w:r>
      <w:r>
        <w:rPr/>
        <w:t>diambilalih</w:t>
      </w:r>
      <w:r>
        <w:rPr>
          <w:spacing w:val="-16"/>
        </w:rPr>
        <w:t> </w:t>
      </w:r>
      <w:r>
        <w:rPr/>
        <w:t>sebagai</w:t>
      </w:r>
      <w:r>
        <w:rPr>
          <w:spacing w:val="-11"/>
        </w:rPr>
        <w:t> </w:t>
      </w:r>
      <w:r>
        <w:rPr/>
        <w:t>ASN</w:t>
      </w:r>
      <w:r>
        <w:rPr>
          <w:spacing w:val="-17"/>
        </w:rPr>
        <w:t> </w:t>
      </w:r>
      <w:r>
        <w:rPr/>
        <w:t>IKN,</w:t>
      </w:r>
      <w:r>
        <w:rPr>
          <w:spacing w:val="-14"/>
        </w:rPr>
        <w:t> </w:t>
      </w:r>
      <w:r>
        <w:rPr/>
        <w:t>mereka</w:t>
      </w:r>
      <w:r>
        <w:rPr>
          <w:spacing w:val="-12"/>
        </w:rPr>
        <w:t> </w:t>
      </w:r>
      <w:r>
        <w:rPr/>
        <w:t>bertanya</w:t>
      </w:r>
      <w:r>
        <w:rPr>
          <w:spacing w:val="-17"/>
        </w:rPr>
        <w:t> </w:t>
      </w:r>
      <w:r>
        <w:rPr/>
        <w:t>apakah akan</w:t>
      </w:r>
      <w:r>
        <w:rPr>
          <w:spacing w:val="-1"/>
        </w:rPr>
        <w:t> </w:t>
      </w:r>
      <w:r>
        <w:rPr/>
        <w:t>diperlakukan</w:t>
      </w:r>
      <w:r>
        <w:rPr>
          <w:spacing w:val="-1"/>
        </w:rPr>
        <w:t> </w:t>
      </w:r>
      <w:r>
        <w:rPr/>
        <w:t>sama, tidak diskrimintif, dalam karir</w:t>
      </w:r>
      <w:r>
        <w:rPr>
          <w:spacing w:val="-1"/>
        </w:rPr>
        <w:t> </w:t>
      </w:r>
      <w:r>
        <w:rPr/>
        <w:t>mereka. Di luar kekuatiran yang muncul tersebut, bagaimanapun, kesiapan Pemerintah Kabupaten Kutai Kartanegara untuk mengatasinya harus dilakukan, termasuk dengan penyiapan berbagai bentuk program pendidikan dan latihan (diklat), bimbingan</w:t>
      </w:r>
      <w:r>
        <w:rPr>
          <w:spacing w:val="-12"/>
        </w:rPr>
        <w:t> </w:t>
      </w:r>
      <w:r>
        <w:rPr/>
        <w:t>teknis</w:t>
      </w:r>
      <w:r>
        <w:rPr>
          <w:spacing w:val="-13"/>
        </w:rPr>
        <w:t> </w:t>
      </w:r>
      <w:r>
        <w:rPr/>
        <w:t>dan</w:t>
      </w:r>
      <w:r>
        <w:rPr>
          <w:spacing w:val="-13"/>
        </w:rPr>
        <w:t> </w:t>
      </w:r>
      <w:r>
        <w:rPr/>
        <w:t>lain-lain,</w:t>
      </w:r>
      <w:r>
        <w:rPr>
          <w:spacing w:val="-11"/>
        </w:rPr>
        <w:t> </w:t>
      </w:r>
      <w:r>
        <w:rPr/>
        <w:t>sebagaimana</w:t>
      </w:r>
      <w:r>
        <w:rPr>
          <w:spacing w:val="-12"/>
        </w:rPr>
        <w:t> </w:t>
      </w:r>
      <w:r>
        <w:rPr/>
        <w:t>yangdigambarkan dalam Tabel 11.</w:t>
      </w:r>
    </w:p>
    <w:p>
      <w:pPr>
        <w:pStyle w:val="BodyText"/>
        <w:spacing w:before="16"/>
        <w:jc w:val="left"/>
      </w:pPr>
    </w:p>
    <w:p>
      <w:pPr>
        <w:spacing w:before="1"/>
        <w:ind w:left="1497" w:right="1628" w:firstLine="0"/>
        <w:jc w:val="center"/>
        <w:rPr>
          <w:rFonts w:ascii="Lucida Sans Unicode"/>
          <w:sz w:val="22"/>
        </w:rPr>
      </w:pPr>
      <w:bookmarkStart w:name="_bookmark53" w:id="54"/>
      <w:bookmarkEnd w:id="54"/>
      <w:r>
        <w:rPr/>
      </w:r>
      <w:r>
        <w:rPr>
          <w:rFonts w:ascii="Tahoma"/>
          <w:b/>
          <w:sz w:val="22"/>
        </w:rPr>
        <w:t>Tabel</w:t>
      </w:r>
      <w:r>
        <w:rPr>
          <w:rFonts w:ascii="Tahoma"/>
          <w:b/>
          <w:spacing w:val="-11"/>
          <w:sz w:val="22"/>
        </w:rPr>
        <w:t> </w:t>
      </w:r>
      <w:r>
        <w:rPr>
          <w:rFonts w:ascii="Tahoma"/>
          <w:b/>
          <w:sz w:val="22"/>
        </w:rPr>
        <w:t>11.</w:t>
      </w:r>
      <w:r>
        <w:rPr>
          <w:rFonts w:ascii="Tahoma"/>
          <w:b/>
          <w:spacing w:val="2"/>
          <w:sz w:val="22"/>
        </w:rPr>
        <w:t> </w:t>
      </w:r>
      <w:r>
        <w:rPr>
          <w:rFonts w:ascii="Lucida Sans Unicode"/>
          <w:sz w:val="22"/>
        </w:rPr>
        <w:t>Kebutuhan</w:t>
      </w:r>
      <w:r>
        <w:rPr>
          <w:rFonts w:ascii="Lucida Sans Unicode"/>
          <w:spacing w:val="-2"/>
          <w:sz w:val="22"/>
        </w:rPr>
        <w:t> </w:t>
      </w:r>
      <w:r>
        <w:rPr>
          <w:rFonts w:ascii="Lucida Sans Unicode"/>
          <w:sz w:val="22"/>
        </w:rPr>
        <w:t>Peningkatan</w:t>
      </w:r>
      <w:r>
        <w:rPr>
          <w:rFonts w:ascii="Lucida Sans Unicode"/>
          <w:spacing w:val="3"/>
          <w:sz w:val="22"/>
        </w:rPr>
        <w:t> </w:t>
      </w:r>
      <w:r>
        <w:rPr>
          <w:rFonts w:ascii="Lucida Sans Unicode"/>
          <w:sz w:val="22"/>
        </w:rPr>
        <w:t>Kualitas</w:t>
      </w:r>
      <w:r>
        <w:rPr>
          <w:rFonts w:ascii="Lucida Sans Unicode"/>
          <w:spacing w:val="-3"/>
          <w:sz w:val="22"/>
        </w:rPr>
        <w:t> </w:t>
      </w:r>
      <w:r>
        <w:rPr>
          <w:rFonts w:ascii="Lucida Sans Unicode"/>
          <w:sz w:val="22"/>
        </w:rPr>
        <w:t>SDM</w:t>
      </w:r>
      <w:r>
        <w:rPr>
          <w:rFonts w:ascii="Lucida Sans Unicode"/>
          <w:spacing w:val="1"/>
          <w:sz w:val="22"/>
        </w:rPr>
        <w:t> </w:t>
      </w:r>
      <w:r>
        <w:rPr>
          <w:rFonts w:ascii="Lucida Sans Unicode"/>
          <w:spacing w:val="-2"/>
          <w:sz w:val="22"/>
        </w:rPr>
        <w:t>Aparatur</w:t>
      </w:r>
    </w:p>
    <w:p>
      <w:pPr>
        <w:pStyle w:val="BodyText"/>
        <w:spacing w:before="2" w:after="1"/>
        <w:jc w:val="left"/>
        <w:rPr>
          <w:rFonts w:ascii="Lucida Sans Unicode"/>
          <w:sz w:val="11"/>
        </w:rPr>
      </w:pPr>
    </w:p>
    <w:tbl>
      <w:tblPr>
        <w:tblW w:w="0" w:type="auto"/>
        <w:jc w:val="left"/>
        <w:tblInd w:w="1212"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top w:w="0" w:type="dxa"/>
          <w:left w:w="0" w:type="dxa"/>
          <w:bottom w:w="0" w:type="dxa"/>
          <w:right w:w="0" w:type="dxa"/>
        </w:tblCellMar>
        <w:tblLook w:val="01E0"/>
      </w:tblPr>
      <w:tblGrid>
        <w:gridCol w:w="2675"/>
        <w:gridCol w:w="4005"/>
      </w:tblGrid>
      <w:tr>
        <w:trPr>
          <w:trHeight w:val="340" w:hRule="atLeast"/>
        </w:trPr>
        <w:tc>
          <w:tcPr>
            <w:tcW w:w="2675" w:type="dxa"/>
            <w:tcBorders>
              <w:top w:val="nil"/>
              <w:left w:val="nil"/>
              <w:bottom w:val="nil"/>
              <w:right w:val="nil"/>
            </w:tcBorders>
            <w:shd w:val="clear" w:color="auto" w:fill="4F81BB"/>
          </w:tcPr>
          <w:p>
            <w:pPr>
              <w:pStyle w:val="TableParagraph"/>
              <w:ind w:left="13"/>
              <w:jc w:val="center"/>
              <w:rPr>
                <w:b/>
                <w:sz w:val="24"/>
              </w:rPr>
            </w:pPr>
            <w:r>
              <w:rPr>
                <w:b/>
                <w:color w:val="FFFFFF"/>
                <w:spacing w:val="-2"/>
                <w:sz w:val="24"/>
              </w:rPr>
              <w:t>Bentuk</w:t>
            </w:r>
          </w:p>
        </w:tc>
        <w:tc>
          <w:tcPr>
            <w:tcW w:w="4005" w:type="dxa"/>
            <w:tcBorders>
              <w:top w:val="nil"/>
              <w:left w:val="nil"/>
              <w:bottom w:val="nil"/>
              <w:right w:val="nil"/>
            </w:tcBorders>
            <w:shd w:val="clear" w:color="auto" w:fill="4F81BB"/>
          </w:tcPr>
          <w:p>
            <w:pPr>
              <w:pStyle w:val="TableParagraph"/>
              <w:ind w:left="1200"/>
              <w:rPr>
                <w:b/>
                <w:sz w:val="24"/>
              </w:rPr>
            </w:pPr>
            <w:r>
              <w:rPr>
                <w:b/>
                <w:color w:val="FFFFFF"/>
                <w:sz w:val="24"/>
              </w:rPr>
              <w:t>Jenis</w:t>
            </w:r>
            <w:r>
              <w:rPr>
                <w:b/>
                <w:color w:val="FFFFFF"/>
                <w:spacing w:val="-11"/>
                <w:sz w:val="24"/>
              </w:rPr>
              <w:t> </w:t>
            </w:r>
            <w:r>
              <w:rPr>
                <w:b/>
                <w:color w:val="FFFFFF"/>
                <w:spacing w:val="-2"/>
                <w:sz w:val="24"/>
              </w:rPr>
              <w:t>Kegiatan</w:t>
            </w:r>
          </w:p>
        </w:tc>
      </w:tr>
      <w:tr>
        <w:trPr>
          <w:trHeight w:val="316" w:hRule="atLeast"/>
        </w:trPr>
        <w:tc>
          <w:tcPr>
            <w:tcW w:w="2675" w:type="dxa"/>
            <w:vMerge w:val="restart"/>
            <w:tcBorders>
              <w:top w:val="nil"/>
            </w:tcBorders>
            <w:shd w:val="clear" w:color="auto" w:fill="DBE3EF"/>
          </w:tcPr>
          <w:p>
            <w:pPr>
              <w:pStyle w:val="TableParagraph"/>
              <w:ind w:left="840"/>
              <w:rPr>
                <w:b/>
                <w:sz w:val="24"/>
              </w:rPr>
            </w:pPr>
            <w:r>
              <w:rPr>
                <w:b/>
                <w:spacing w:val="-2"/>
                <w:sz w:val="24"/>
              </w:rPr>
              <w:t>Asesmen</w:t>
            </w:r>
          </w:p>
        </w:tc>
        <w:tc>
          <w:tcPr>
            <w:tcW w:w="4005" w:type="dxa"/>
            <w:tcBorders>
              <w:top w:val="nil"/>
            </w:tcBorders>
            <w:shd w:val="clear" w:color="auto" w:fill="DBE3EF"/>
          </w:tcPr>
          <w:p>
            <w:pPr>
              <w:pStyle w:val="TableParagraph"/>
              <w:spacing w:line="297" w:lineRule="exact"/>
              <w:ind w:left="110"/>
              <w:rPr>
                <w:sz w:val="24"/>
              </w:rPr>
            </w:pPr>
            <w:r>
              <w:rPr>
                <w:sz w:val="24"/>
              </w:rPr>
              <w:t>Asesmen</w:t>
            </w:r>
            <w:r>
              <w:rPr>
                <w:spacing w:val="-9"/>
                <w:sz w:val="24"/>
              </w:rPr>
              <w:t> </w:t>
            </w:r>
            <w:r>
              <w:rPr>
                <w:sz w:val="24"/>
              </w:rPr>
              <w:t>kebutuhan</w:t>
            </w:r>
            <w:r>
              <w:rPr>
                <w:spacing w:val="-4"/>
                <w:sz w:val="24"/>
              </w:rPr>
              <w:t> </w:t>
            </w:r>
            <w:r>
              <w:rPr>
                <w:sz w:val="24"/>
              </w:rPr>
              <w:t>dan</w:t>
            </w:r>
            <w:r>
              <w:rPr>
                <w:spacing w:val="-3"/>
                <w:sz w:val="24"/>
              </w:rPr>
              <w:t> </w:t>
            </w:r>
            <w:r>
              <w:rPr>
                <w:spacing w:val="-2"/>
                <w:sz w:val="24"/>
              </w:rPr>
              <w:t>tantangan</w:t>
            </w:r>
          </w:p>
        </w:tc>
      </w:tr>
      <w:tr>
        <w:trPr>
          <w:trHeight w:val="642" w:hRule="atLeast"/>
        </w:trPr>
        <w:tc>
          <w:tcPr>
            <w:tcW w:w="2675" w:type="dxa"/>
            <w:vMerge/>
            <w:tcBorders>
              <w:top w:val="nil"/>
            </w:tcBorders>
            <w:shd w:val="clear" w:color="auto" w:fill="DBE3EF"/>
          </w:tcPr>
          <w:p>
            <w:pPr>
              <w:rPr>
                <w:sz w:val="2"/>
                <w:szCs w:val="2"/>
              </w:rPr>
            </w:pPr>
          </w:p>
        </w:tc>
        <w:tc>
          <w:tcPr>
            <w:tcW w:w="4005" w:type="dxa"/>
          </w:tcPr>
          <w:p>
            <w:pPr>
              <w:pStyle w:val="TableParagraph"/>
              <w:spacing w:line="322" w:lineRule="exact"/>
              <w:ind w:left="110"/>
              <w:rPr>
                <w:sz w:val="24"/>
              </w:rPr>
            </w:pPr>
            <w:r>
              <w:rPr>
                <w:sz w:val="24"/>
              </w:rPr>
              <w:t>Desain</w:t>
            </w:r>
            <w:r>
              <w:rPr>
                <w:spacing w:val="-2"/>
                <w:sz w:val="24"/>
              </w:rPr>
              <w:t> </w:t>
            </w:r>
            <w:r>
              <w:rPr>
                <w:sz w:val="24"/>
              </w:rPr>
              <w:t>kebijakan dan</w:t>
            </w:r>
            <w:r>
              <w:rPr>
                <w:spacing w:val="-1"/>
                <w:sz w:val="24"/>
              </w:rPr>
              <w:t> </w:t>
            </w:r>
            <w:r>
              <w:rPr>
                <w:sz w:val="24"/>
              </w:rPr>
              <w:t>kelembagaan </w:t>
            </w:r>
            <w:r>
              <w:rPr>
                <w:spacing w:val="-4"/>
                <w:sz w:val="24"/>
              </w:rPr>
              <w:t>SDM</w:t>
            </w:r>
          </w:p>
        </w:tc>
      </w:tr>
      <w:tr>
        <w:trPr>
          <w:trHeight w:val="637" w:hRule="atLeast"/>
        </w:trPr>
        <w:tc>
          <w:tcPr>
            <w:tcW w:w="2675" w:type="dxa"/>
            <w:vMerge w:val="restart"/>
            <w:shd w:val="clear" w:color="auto" w:fill="DBE3EF"/>
          </w:tcPr>
          <w:p>
            <w:pPr>
              <w:pStyle w:val="TableParagraph"/>
              <w:spacing w:line="314" w:lineRule="exact"/>
              <w:ind w:left="110"/>
              <w:rPr>
                <w:b/>
                <w:sz w:val="24"/>
              </w:rPr>
            </w:pPr>
            <w:r>
              <w:rPr>
                <w:b/>
                <w:spacing w:val="-2"/>
                <w:sz w:val="24"/>
              </w:rPr>
              <w:t>Advokasi/Komunikasi</w:t>
            </w:r>
          </w:p>
        </w:tc>
        <w:tc>
          <w:tcPr>
            <w:tcW w:w="4005" w:type="dxa"/>
            <w:shd w:val="clear" w:color="auto" w:fill="DBE3EF"/>
          </w:tcPr>
          <w:p>
            <w:pPr>
              <w:pStyle w:val="TableParagraph"/>
              <w:spacing w:line="314" w:lineRule="exact"/>
              <w:ind w:left="110"/>
              <w:rPr>
                <w:sz w:val="24"/>
              </w:rPr>
            </w:pPr>
            <w:r>
              <w:rPr>
                <w:sz w:val="24"/>
              </w:rPr>
              <w:t>Konsultasi</w:t>
            </w:r>
            <w:r>
              <w:rPr>
                <w:spacing w:val="4"/>
                <w:sz w:val="24"/>
              </w:rPr>
              <w:t> </w:t>
            </w:r>
            <w:r>
              <w:rPr>
                <w:sz w:val="24"/>
              </w:rPr>
              <w:t>dan</w:t>
            </w:r>
            <w:r>
              <w:rPr>
                <w:spacing w:val="4"/>
                <w:sz w:val="24"/>
              </w:rPr>
              <w:t> </w:t>
            </w:r>
            <w:r>
              <w:rPr>
                <w:sz w:val="24"/>
              </w:rPr>
              <w:t>sosialisasi</w:t>
            </w:r>
            <w:r>
              <w:rPr>
                <w:spacing w:val="10"/>
                <w:sz w:val="24"/>
              </w:rPr>
              <w:t> </w:t>
            </w:r>
            <w:r>
              <w:rPr>
                <w:spacing w:val="-2"/>
                <w:sz w:val="24"/>
              </w:rPr>
              <w:t>sistematis</w:t>
            </w:r>
          </w:p>
          <w:p>
            <w:pPr>
              <w:pStyle w:val="TableParagraph"/>
              <w:spacing w:line="301" w:lineRule="exact" w:before="2"/>
              <w:ind w:left="110"/>
              <w:rPr>
                <w:sz w:val="24"/>
              </w:rPr>
            </w:pPr>
            <w:r>
              <w:rPr>
                <w:sz w:val="24"/>
              </w:rPr>
              <w:t>dengan</w:t>
            </w:r>
            <w:r>
              <w:rPr>
                <w:spacing w:val="-7"/>
                <w:sz w:val="24"/>
              </w:rPr>
              <w:t> </w:t>
            </w:r>
            <w:r>
              <w:rPr>
                <w:spacing w:val="-2"/>
                <w:sz w:val="24"/>
              </w:rPr>
              <w:t>stakeholders</w:t>
            </w:r>
          </w:p>
        </w:tc>
      </w:tr>
      <w:tr>
        <w:trPr>
          <w:trHeight w:val="316" w:hRule="atLeast"/>
        </w:trPr>
        <w:tc>
          <w:tcPr>
            <w:tcW w:w="2675" w:type="dxa"/>
            <w:vMerge/>
            <w:tcBorders>
              <w:top w:val="nil"/>
            </w:tcBorders>
            <w:shd w:val="clear" w:color="auto" w:fill="DBE3EF"/>
          </w:tcPr>
          <w:p>
            <w:pPr>
              <w:rPr>
                <w:sz w:val="2"/>
                <w:szCs w:val="2"/>
              </w:rPr>
            </w:pPr>
          </w:p>
        </w:tc>
        <w:tc>
          <w:tcPr>
            <w:tcW w:w="4005" w:type="dxa"/>
          </w:tcPr>
          <w:p>
            <w:pPr>
              <w:pStyle w:val="TableParagraph"/>
              <w:spacing w:line="296" w:lineRule="exact"/>
              <w:ind w:left="110"/>
              <w:rPr>
                <w:sz w:val="24"/>
              </w:rPr>
            </w:pPr>
            <w:r>
              <w:rPr>
                <w:sz w:val="24"/>
              </w:rPr>
              <w:t>Collaborative</w:t>
            </w:r>
            <w:r>
              <w:rPr>
                <w:spacing w:val="-12"/>
                <w:sz w:val="24"/>
              </w:rPr>
              <w:t> </w:t>
            </w:r>
            <w:r>
              <w:rPr>
                <w:spacing w:val="-2"/>
                <w:sz w:val="24"/>
              </w:rPr>
              <w:t>Governance</w:t>
            </w:r>
          </w:p>
        </w:tc>
      </w:tr>
      <w:tr>
        <w:trPr>
          <w:trHeight w:val="316" w:hRule="atLeast"/>
        </w:trPr>
        <w:tc>
          <w:tcPr>
            <w:tcW w:w="2675" w:type="dxa"/>
            <w:vMerge w:val="restart"/>
            <w:shd w:val="clear" w:color="auto" w:fill="DBE3EF"/>
          </w:tcPr>
          <w:p>
            <w:pPr>
              <w:pStyle w:val="TableParagraph"/>
              <w:spacing w:line="237" w:lineRule="auto" w:before="2"/>
              <w:ind w:left="869" w:hanging="557"/>
              <w:rPr>
                <w:b/>
                <w:sz w:val="24"/>
              </w:rPr>
            </w:pPr>
            <w:r>
              <w:rPr>
                <w:b/>
                <w:spacing w:val="-2"/>
                <w:sz w:val="24"/>
              </w:rPr>
              <w:t>Asistensi/Capacity Building</w:t>
            </w:r>
          </w:p>
        </w:tc>
        <w:tc>
          <w:tcPr>
            <w:tcW w:w="4005" w:type="dxa"/>
            <w:shd w:val="clear" w:color="auto" w:fill="DBE3EF"/>
          </w:tcPr>
          <w:p>
            <w:pPr>
              <w:pStyle w:val="TableParagraph"/>
              <w:spacing w:line="296" w:lineRule="exact"/>
              <w:ind w:left="110"/>
              <w:rPr>
                <w:sz w:val="24"/>
              </w:rPr>
            </w:pPr>
            <w:r>
              <w:rPr>
                <w:spacing w:val="-2"/>
                <w:sz w:val="24"/>
              </w:rPr>
              <w:t>Diklat/Bimtek</w:t>
            </w:r>
          </w:p>
        </w:tc>
      </w:tr>
      <w:tr>
        <w:trPr>
          <w:trHeight w:val="321" w:hRule="atLeast"/>
        </w:trPr>
        <w:tc>
          <w:tcPr>
            <w:tcW w:w="2675" w:type="dxa"/>
            <w:vMerge/>
            <w:tcBorders>
              <w:top w:val="nil"/>
            </w:tcBorders>
            <w:shd w:val="clear" w:color="auto" w:fill="DBE3EF"/>
          </w:tcPr>
          <w:p>
            <w:pPr>
              <w:rPr>
                <w:sz w:val="2"/>
                <w:szCs w:val="2"/>
              </w:rPr>
            </w:pPr>
          </w:p>
        </w:tc>
        <w:tc>
          <w:tcPr>
            <w:tcW w:w="4005" w:type="dxa"/>
          </w:tcPr>
          <w:p>
            <w:pPr>
              <w:pStyle w:val="TableParagraph"/>
              <w:spacing w:line="301" w:lineRule="exact"/>
              <w:ind w:left="110"/>
              <w:rPr>
                <w:sz w:val="24"/>
              </w:rPr>
            </w:pPr>
            <w:r>
              <w:rPr>
                <w:sz w:val="24"/>
              </w:rPr>
              <w:t>Pembinaan</w:t>
            </w:r>
            <w:r>
              <w:rPr>
                <w:spacing w:val="-9"/>
                <w:sz w:val="24"/>
              </w:rPr>
              <w:t> </w:t>
            </w:r>
            <w:r>
              <w:rPr>
                <w:sz w:val="24"/>
              </w:rPr>
              <w:t>dan</w:t>
            </w:r>
            <w:r>
              <w:rPr>
                <w:spacing w:val="-9"/>
                <w:sz w:val="24"/>
              </w:rPr>
              <w:t> </w:t>
            </w:r>
            <w:r>
              <w:rPr>
                <w:spacing w:val="-2"/>
                <w:sz w:val="24"/>
              </w:rPr>
              <w:t>Pengawasan</w:t>
            </w:r>
          </w:p>
        </w:tc>
      </w:tr>
      <w:tr>
        <w:trPr>
          <w:trHeight w:val="321" w:hRule="atLeast"/>
        </w:trPr>
        <w:tc>
          <w:tcPr>
            <w:tcW w:w="2675" w:type="dxa"/>
            <w:vMerge/>
            <w:tcBorders>
              <w:top w:val="nil"/>
            </w:tcBorders>
            <w:shd w:val="clear" w:color="auto" w:fill="DBE3EF"/>
          </w:tcPr>
          <w:p>
            <w:pPr>
              <w:rPr>
                <w:sz w:val="2"/>
                <w:szCs w:val="2"/>
              </w:rPr>
            </w:pPr>
          </w:p>
        </w:tc>
        <w:tc>
          <w:tcPr>
            <w:tcW w:w="4005" w:type="dxa"/>
            <w:shd w:val="clear" w:color="auto" w:fill="DBE3EF"/>
          </w:tcPr>
          <w:p>
            <w:pPr>
              <w:pStyle w:val="TableParagraph"/>
              <w:spacing w:line="300" w:lineRule="exact"/>
              <w:ind w:left="110"/>
              <w:rPr>
                <w:sz w:val="24"/>
              </w:rPr>
            </w:pPr>
            <w:r>
              <w:rPr>
                <w:sz w:val="24"/>
              </w:rPr>
              <w:t>Monitoring</w:t>
            </w:r>
            <w:r>
              <w:rPr>
                <w:spacing w:val="-7"/>
                <w:sz w:val="24"/>
              </w:rPr>
              <w:t> </w:t>
            </w:r>
            <w:r>
              <w:rPr>
                <w:sz w:val="24"/>
              </w:rPr>
              <w:t>dan</w:t>
            </w:r>
            <w:r>
              <w:rPr>
                <w:spacing w:val="-5"/>
                <w:sz w:val="24"/>
              </w:rPr>
              <w:t> </w:t>
            </w:r>
            <w:r>
              <w:rPr>
                <w:spacing w:val="-2"/>
                <w:sz w:val="24"/>
              </w:rPr>
              <w:t>Evaluasi</w:t>
            </w:r>
          </w:p>
        </w:tc>
      </w:tr>
    </w:tbl>
    <w:p>
      <w:pPr>
        <w:pStyle w:val="BodyText"/>
        <w:spacing w:before="4"/>
        <w:ind w:left="2002"/>
      </w:pPr>
      <w:r>
        <w:rPr/>
        <w:t>Sumber:</w:t>
      </w:r>
      <w:r>
        <w:rPr>
          <w:spacing w:val="-8"/>
        </w:rPr>
        <w:t> </w:t>
      </w:r>
      <w:r>
        <w:rPr/>
        <w:t>KPPOD,</w:t>
      </w:r>
      <w:r>
        <w:rPr>
          <w:spacing w:val="-5"/>
        </w:rPr>
        <w:t> </w:t>
      </w:r>
      <w:r>
        <w:rPr>
          <w:spacing w:val="-2"/>
        </w:rPr>
        <w:t>2023.</w:t>
      </w:r>
    </w:p>
    <w:p>
      <w:pPr>
        <w:pStyle w:val="BodyText"/>
        <w:spacing w:before="4"/>
        <w:jc w:val="left"/>
      </w:pPr>
    </w:p>
    <w:p>
      <w:pPr>
        <w:pStyle w:val="BodyText"/>
        <w:spacing w:line="360" w:lineRule="auto" w:before="1"/>
        <w:ind w:left="1843" w:right="698"/>
      </w:pPr>
      <w:r>
        <w:rPr/>
        <w:t>Sebelumnya berbagai langkah </w:t>
      </w:r>
      <w:r>
        <w:rPr>
          <w:i/>
        </w:rPr>
        <w:t>assessment </w:t>
      </w:r>
      <w:r>
        <w:rPr/>
        <w:t>sudah harus dilakukan untuk penyiapan respons yang relevan dan baik. Begitu pula, berbagai kegiatan advokasi dan pendampingan perlu disiapkan oleh unit-unit pengembangan SDM di Kabupaten Kutai Kartanegara, yang berkepentingan untuk itu. Peran Pemerintah Provinsi Kalimantan Timur dan Kementerian Dalam Negeri berupa fasilitasi dan Binwas juga sangat dibutuhkan. Demikian pula peran Pemerintah Kabupaten melalui BKPSDM, dunia usaha, universitas/akademisi, dan masyarakat</w:t>
      </w:r>
      <w:r>
        <w:rPr>
          <w:spacing w:val="40"/>
        </w:rPr>
        <w:t> </w:t>
      </w:r>
      <w:r>
        <w:rPr/>
        <w:t>sipil</w:t>
      </w:r>
      <w:r>
        <w:rPr>
          <w:spacing w:val="40"/>
        </w:rPr>
        <w:t> </w:t>
      </w:r>
      <w:r>
        <w:rPr/>
        <w:t>serta</w:t>
      </w:r>
      <w:r>
        <w:rPr>
          <w:spacing w:val="40"/>
        </w:rPr>
        <w:t> </w:t>
      </w:r>
      <w:r>
        <w:rPr/>
        <w:t>media</w:t>
      </w:r>
      <w:r>
        <w:rPr>
          <w:spacing w:val="40"/>
        </w:rPr>
        <w:t> </w:t>
      </w:r>
      <w:r>
        <w:rPr/>
        <w:t>massa harus</w:t>
      </w:r>
      <w:r>
        <w:rPr>
          <w:spacing w:val="40"/>
        </w:rPr>
        <w:t> </w:t>
      </w:r>
      <w:r>
        <w:rPr/>
        <w:t>diupayakan</w:t>
      </w:r>
      <w:r>
        <w:rPr>
          <w:spacing w:val="40"/>
        </w:rPr>
        <w:t> </w:t>
      </w:r>
      <w:r>
        <w:rPr/>
        <w:t>turut</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berperan serta dalam Upaya peningkatan kualitas SDM di Kabupaten Kutai Kartanegara. Dengan demikian, diharapkan ketertinggalan kualitas SDM Pemerintah Kabupaten Kutai Kartanegara</w:t>
      </w:r>
      <w:r>
        <w:rPr>
          <w:spacing w:val="-9"/>
        </w:rPr>
        <w:t> </w:t>
      </w:r>
      <w:r>
        <w:rPr/>
        <w:t>dengan</w:t>
      </w:r>
      <w:r>
        <w:rPr>
          <w:spacing w:val="-13"/>
        </w:rPr>
        <w:t> </w:t>
      </w:r>
      <w:r>
        <w:rPr/>
        <w:t>OIKN</w:t>
      </w:r>
      <w:r>
        <w:rPr>
          <w:spacing w:val="-10"/>
        </w:rPr>
        <w:t> </w:t>
      </w:r>
      <w:r>
        <w:rPr/>
        <w:t>dapat</w:t>
      </w:r>
      <w:r>
        <w:rPr>
          <w:spacing w:val="-7"/>
        </w:rPr>
        <w:t> </w:t>
      </w:r>
      <w:r>
        <w:rPr/>
        <w:t>diminimalisir</w:t>
      </w:r>
      <w:r>
        <w:rPr>
          <w:spacing w:val="-9"/>
        </w:rPr>
        <w:t> </w:t>
      </w:r>
      <w:r>
        <w:rPr/>
        <w:t>kesenjangannya.</w:t>
      </w:r>
    </w:p>
    <w:p>
      <w:pPr>
        <w:pStyle w:val="BodyText"/>
        <w:spacing w:before="161"/>
        <w:jc w:val="left"/>
      </w:pPr>
    </w:p>
    <w:p>
      <w:pPr>
        <w:pStyle w:val="BodyText"/>
        <w:spacing w:line="360" w:lineRule="auto" w:before="1"/>
        <w:ind w:left="1843" w:right="699"/>
      </w:pPr>
      <w:r>
        <w:rPr/>
        <w:t>Dengan delineasi wilayah, pelayanan publik di Pemerintah Kabupaten Kutai Kartanegara akan terdampak berkurang. Sebagai konsekuensinya dibutuhkan penyesuaian organisasi sehingga kebijakan delineasi akan membawa pula risiko terhadap pelayanan yang selama ini diberikan kepada warga lokal</w:t>
      </w:r>
      <w:r>
        <w:rPr>
          <w:spacing w:val="-17"/>
        </w:rPr>
        <w:t> </w:t>
      </w:r>
      <w:r>
        <w:rPr/>
        <w:t>dan</w:t>
      </w:r>
      <w:r>
        <w:rPr>
          <w:spacing w:val="-12"/>
        </w:rPr>
        <w:t> </w:t>
      </w:r>
      <w:r>
        <w:rPr/>
        <w:t>publik</w:t>
      </w:r>
      <w:r>
        <w:rPr>
          <w:spacing w:val="-15"/>
        </w:rPr>
        <w:t> </w:t>
      </w:r>
      <w:r>
        <w:rPr/>
        <w:t>pada</w:t>
      </w:r>
      <w:r>
        <w:rPr>
          <w:spacing w:val="-17"/>
        </w:rPr>
        <w:t> </w:t>
      </w:r>
      <w:r>
        <w:rPr/>
        <w:t>umumnya.</w:t>
      </w:r>
      <w:r>
        <w:rPr>
          <w:spacing w:val="-14"/>
        </w:rPr>
        <w:t> </w:t>
      </w:r>
      <w:r>
        <w:rPr/>
        <w:t>Memang,</w:t>
      </w:r>
      <w:r>
        <w:rPr>
          <w:spacing w:val="-15"/>
        </w:rPr>
        <w:t> </w:t>
      </w:r>
      <w:r>
        <w:rPr/>
        <w:t>terungkap,</w:t>
      </w:r>
      <w:r>
        <w:rPr>
          <w:spacing w:val="-15"/>
        </w:rPr>
        <w:t> </w:t>
      </w:r>
      <w:r>
        <w:rPr/>
        <w:t>terhadap penduduk di wilayah yang tidak terdelineasi, pelayanan publik tidak akan dikurangi. Bagi Pemerintah Kabupaten Kutai Kartanegara</w:t>
      </w:r>
      <w:r>
        <w:rPr>
          <w:spacing w:val="-10"/>
        </w:rPr>
        <w:t> </w:t>
      </w:r>
      <w:r>
        <w:rPr/>
        <w:t>sendiri,</w:t>
      </w:r>
      <w:r>
        <w:rPr>
          <w:spacing w:val="-13"/>
        </w:rPr>
        <w:t> </w:t>
      </w:r>
      <w:r>
        <w:rPr/>
        <w:t>sekalipun</w:t>
      </w:r>
      <w:r>
        <w:rPr>
          <w:spacing w:val="-15"/>
        </w:rPr>
        <w:t> </w:t>
      </w:r>
      <w:r>
        <w:rPr/>
        <w:t>pelayanan</w:t>
      </w:r>
      <w:r>
        <w:rPr>
          <w:spacing w:val="-14"/>
        </w:rPr>
        <w:t> </w:t>
      </w:r>
      <w:r>
        <w:rPr/>
        <w:t>publik</w:t>
      </w:r>
      <w:r>
        <w:rPr>
          <w:spacing w:val="-12"/>
        </w:rPr>
        <w:t> </w:t>
      </w:r>
      <w:r>
        <w:rPr/>
        <w:t>di</w:t>
      </w:r>
      <w:r>
        <w:rPr>
          <w:spacing w:val="-14"/>
        </w:rPr>
        <w:t> </w:t>
      </w:r>
      <w:r>
        <w:rPr/>
        <w:t>wilayah</w:t>
      </w:r>
      <w:r>
        <w:rPr>
          <w:spacing w:val="-14"/>
        </w:rPr>
        <w:t> </w:t>
      </w:r>
      <w:r>
        <w:rPr/>
        <w:t>yang terdelineasisi mau diambil alih OIKN, tidak menjadi masalah, asalkan bekas penduduknya tetap dapat diurus dan memperoleh pelayanan publik yang tidak berkurang. Kecuali untuk</w:t>
      </w:r>
      <w:r>
        <w:rPr>
          <w:spacing w:val="-11"/>
        </w:rPr>
        <w:t> </w:t>
      </w:r>
      <w:r>
        <w:rPr/>
        <w:t>perizinan</w:t>
      </w:r>
      <w:r>
        <w:rPr>
          <w:spacing w:val="-12"/>
        </w:rPr>
        <w:t> </w:t>
      </w:r>
      <w:r>
        <w:rPr/>
        <w:t>usaha.</w:t>
      </w:r>
      <w:r>
        <w:rPr>
          <w:spacing w:val="-10"/>
        </w:rPr>
        <w:t> </w:t>
      </w:r>
      <w:r>
        <w:rPr/>
        <w:t>Sejak</w:t>
      </w:r>
      <w:r>
        <w:rPr>
          <w:spacing w:val="-11"/>
        </w:rPr>
        <w:t> </w:t>
      </w:r>
      <w:r>
        <w:rPr/>
        <w:t>2021,</w:t>
      </w:r>
      <w:r>
        <w:rPr>
          <w:spacing w:val="-11"/>
        </w:rPr>
        <w:t> </w:t>
      </w:r>
      <w:r>
        <w:rPr/>
        <w:t>urusan</w:t>
      </w:r>
      <w:r>
        <w:rPr>
          <w:spacing w:val="-13"/>
        </w:rPr>
        <w:t> </w:t>
      </w:r>
      <w:r>
        <w:rPr/>
        <w:t>penanaman</w:t>
      </w:r>
      <w:r>
        <w:rPr>
          <w:spacing w:val="-12"/>
        </w:rPr>
        <w:t> </w:t>
      </w:r>
      <w:r>
        <w:rPr/>
        <w:t>modal</w:t>
      </w:r>
      <w:r>
        <w:rPr>
          <w:spacing w:val="-12"/>
        </w:rPr>
        <w:t> </w:t>
      </w:r>
      <w:r>
        <w:rPr/>
        <w:t>di wilayah delineasi, termasuk untuk bangun rumah sakit, tidak lagi</w:t>
      </w:r>
      <w:r>
        <w:rPr>
          <w:spacing w:val="-17"/>
        </w:rPr>
        <w:t> </w:t>
      </w:r>
      <w:r>
        <w:rPr/>
        <w:t>diurus</w:t>
      </w:r>
      <w:r>
        <w:rPr>
          <w:spacing w:val="-16"/>
        </w:rPr>
        <w:t> </w:t>
      </w:r>
      <w:r>
        <w:rPr/>
        <w:t>kantor</w:t>
      </w:r>
      <w:r>
        <w:rPr>
          <w:spacing w:val="-17"/>
        </w:rPr>
        <w:t> </w:t>
      </w:r>
      <w:r>
        <w:rPr/>
        <w:t>ini.</w:t>
      </w:r>
      <w:r>
        <w:rPr>
          <w:spacing w:val="-16"/>
        </w:rPr>
        <w:t> </w:t>
      </w:r>
      <w:r>
        <w:rPr/>
        <w:t>Tetapi,</w:t>
      </w:r>
      <w:r>
        <w:rPr>
          <w:spacing w:val="-17"/>
        </w:rPr>
        <w:t> </w:t>
      </w:r>
      <w:r>
        <w:rPr/>
        <w:t>sampai</w:t>
      </w:r>
      <w:r>
        <w:rPr>
          <w:spacing w:val="-16"/>
        </w:rPr>
        <w:t> </w:t>
      </w:r>
      <w:r>
        <w:rPr/>
        <w:t>sejauh</w:t>
      </w:r>
      <w:r>
        <w:rPr>
          <w:spacing w:val="-17"/>
        </w:rPr>
        <w:t> </w:t>
      </w:r>
      <w:r>
        <w:rPr/>
        <w:t>ini,</w:t>
      </w:r>
      <w:r>
        <w:rPr>
          <w:spacing w:val="-16"/>
        </w:rPr>
        <w:t> </w:t>
      </w:r>
      <w:r>
        <w:rPr/>
        <w:t>pelayanan</w:t>
      </w:r>
      <w:r>
        <w:rPr>
          <w:spacing w:val="-16"/>
        </w:rPr>
        <w:t> </w:t>
      </w:r>
      <w:r>
        <w:rPr/>
        <w:t>publik yang diberikan Pemerintah Kabupaten Kutai Kartanegara di wilayah yang terdelineasi belum berubah dalam kuantitas maupun kualitasnya, karena pembangunan IKN masih fokus pada pembangunan infrastruktur. Ini artinya, belanja untuk pelayanan publik, termasuk bagi para pelayannya, masih tetap dibuat atau mengalir di tengah ancaman berkurangnya Dana Bagi Hasil akibat kebijakan delineasi.</w:t>
      </w:r>
    </w:p>
    <w:p>
      <w:pPr>
        <w:pStyle w:val="BodyText"/>
        <w:spacing w:after="0" w:line="360" w:lineRule="auto"/>
        <w:sectPr>
          <w:pgSz w:w="11910" w:h="16840"/>
          <w:pgMar w:header="0" w:footer="1186" w:top="1580" w:bottom="1380" w:left="1700" w:right="992"/>
        </w:sectPr>
      </w:pPr>
    </w:p>
    <w:p>
      <w:pPr>
        <w:pStyle w:val="Heading2"/>
        <w:numPr>
          <w:ilvl w:val="2"/>
          <w:numId w:val="32"/>
        </w:numPr>
        <w:tabs>
          <w:tab w:pos="1811" w:val="left" w:leader="none"/>
        </w:tabs>
        <w:spacing w:line="240" w:lineRule="auto" w:before="82" w:after="0"/>
        <w:ind w:left="1811" w:right="0" w:hanging="611"/>
        <w:jc w:val="both"/>
      </w:pPr>
      <w:bookmarkStart w:name="_bookmark54" w:id="55"/>
      <w:bookmarkEnd w:id="55"/>
      <w:r>
        <w:rPr>
          <w:b w:val="0"/>
        </w:rPr>
      </w:r>
      <w:r>
        <w:rPr/>
        <w:t>Dampak</w:t>
      </w:r>
      <w:r>
        <w:rPr>
          <w:spacing w:val="-13"/>
        </w:rPr>
        <w:t> </w:t>
      </w:r>
      <w:r>
        <w:rPr>
          <w:spacing w:val="-2"/>
        </w:rPr>
        <w:t>Ekonomi</w:t>
      </w:r>
    </w:p>
    <w:p>
      <w:pPr>
        <w:pStyle w:val="BodyText"/>
        <w:spacing w:line="360" w:lineRule="auto" w:before="223"/>
        <w:ind w:left="1276" w:right="702" w:firstLine="566"/>
      </w:pPr>
      <w:r>
        <w:rPr/>
        <w:t>Dalam jangka menengah dan panjang, akibat pembangunan IKN selama 15-20 tahun ke depan, Kabupaten Kutai Kartanegara diperkirakan akan mengalami banyak perubahan. Kabupaten Kutai Kartanegara</w:t>
      </w:r>
      <w:r>
        <w:rPr>
          <w:spacing w:val="-3"/>
        </w:rPr>
        <w:t> </w:t>
      </w:r>
      <w:r>
        <w:rPr/>
        <w:t>merupakan</w:t>
      </w:r>
      <w:r>
        <w:rPr>
          <w:spacing w:val="-3"/>
        </w:rPr>
        <w:t> </w:t>
      </w:r>
      <w:r>
        <w:rPr/>
        <w:t>salah</w:t>
      </w:r>
      <w:r>
        <w:rPr>
          <w:spacing w:val="-3"/>
        </w:rPr>
        <w:t> </w:t>
      </w:r>
      <w:r>
        <w:rPr/>
        <w:t>satu</w:t>
      </w:r>
      <w:r>
        <w:rPr>
          <w:spacing w:val="-3"/>
        </w:rPr>
        <w:t> </w:t>
      </w:r>
      <w:r>
        <w:rPr/>
        <w:t>wilayah</w:t>
      </w:r>
      <w:r>
        <w:rPr>
          <w:spacing w:val="-3"/>
        </w:rPr>
        <w:t> </w:t>
      </w:r>
      <w:r>
        <w:rPr/>
        <w:t>yang</w:t>
      </w:r>
      <w:r>
        <w:rPr>
          <w:spacing w:val="-3"/>
        </w:rPr>
        <w:t> </w:t>
      </w:r>
      <w:r>
        <w:rPr/>
        <w:t>masuk</w:t>
      </w:r>
      <w:r>
        <w:rPr>
          <w:spacing w:val="-1"/>
        </w:rPr>
        <w:t> </w:t>
      </w:r>
      <w:r>
        <w:rPr/>
        <w:t>dalam</w:t>
      </w:r>
      <w:r>
        <w:rPr>
          <w:spacing w:val="-2"/>
        </w:rPr>
        <w:t> </w:t>
      </w:r>
      <w:r>
        <w:rPr/>
        <w:t>lokasi IKN Nusantara selain Kabupaten Panajam Paser Utara.</w:t>
      </w:r>
    </w:p>
    <w:p>
      <w:pPr>
        <w:pStyle w:val="BodyText"/>
        <w:spacing w:line="360" w:lineRule="auto" w:before="2"/>
        <w:ind w:left="1276" w:right="704" w:firstLine="566"/>
      </w:pPr>
      <w:r>
        <w:rPr/>
        <w:t>Terdapat 6 (enam) wilayah administrasi kecamatan yang berbatasan langsung dengan IKN, yaitu Kecamatan Samboja, Kecamatan Muara Jawa, Kecamatan Loa Kulu, Loa Janan, Sanga- sanga dan Samboja Barat (Saraswati et al., 2022). Terdapat baik dampak</w:t>
      </w:r>
      <w:r>
        <w:rPr>
          <w:spacing w:val="-10"/>
        </w:rPr>
        <w:t> </w:t>
      </w:r>
      <w:r>
        <w:rPr/>
        <w:t>positif</w:t>
      </w:r>
      <w:r>
        <w:rPr>
          <w:spacing w:val="-9"/>
        </w:rPr>
        <w:t> </w:t>
      </w:r>
      <w:r>
        <w:rPr/>
        <w:t>ataupun</w:t>
      </w:r>
      <w:r>
        <w:rPr>
          <w:spacing w:val="-11"/>
        </w:rPr>
        <w:t> </w:t>
      </w:r>
      <w:r>
        <w:rPr/>
        <w:t>negatif</w:t>
      </w:r>
      <w:r>
        <w:rPr>
          <w:spacing w:val="-4"/>
        </w:rPr>
        <w:t> </w:t>
      </w:r>
      <w:r>
        <w:rPr/>
        <w:t>yang</w:t>
      </w:r>
      <w:r>
        <w:rPr>
          <w:spacing w:val="-12"/>
        </w:rPr>
        <w:t> </w:t>
      </w:r>
      <w:r>
        <w:rPr/>
        <w:t>akan</w:t>
      </w:r>
      <w:r>
        <w:rPr>
          <w:spacing w:val="-11"/>
        </w:rPr>
        <w:t> </w:t>
      </w:r>
      <w:r>
        <w:rPr/>
        <w:t>terjadi</w:t>
      </w:r>
      <w:r>
        <w:rPr>
          <w:spacing w:val="-6"/>
        </w:rPr>
        <w:t> </w:t>
      </w:r>
      <w:r>
        <w:rPr/>
        <w:t>di</w:t>
      </w:r>
      <w:r>
        <w:rPr>
          <w:spacing w:val="-11"/>
        </w:rPr>
        <w:t> </w:t>
      </w:r>
      <w:r>
        <w:rPr/>
        <w:t>Kabupaten</w:t>
      </w:r>
      <w:r>
        <w:rPr>
          <w:spacing w:val="-11"/>
        </w:rPr>
        <w:t> </w:t>
      </w:r>
      <w:r>
        <w:rPr/>
        <w:t>Kutai Kartanegara akibat pemindahan IKN.</w:t>
      </w:r>
    </w:p>
    <w:p>
      <w:pPr>
        <w:pStyle w:val="BodyText"/>
        <w:spacing w:before="159"/>
        <w:jc w:val="left"/>
      </w:pPr>
    </w:p>
    <w:p>
      <w:pPr>
        <w:pStyle w:val="Heading2"/>
        <w:numPr>
          <w:ilvl w:val="0"/>
          <w:numId w:val="33"/>
        </w:numPr>
        <w:tabs>
          <w:tab w:pos="1842" w:val="left" w:leader="none"/>
        </w:tabs>
        <w:spacing w:line="240" w:lineRule="auto" w:before="0" w:after="0"/>
        <w:ind w:left="1842" w:right="0" w:hanging="566"/>
        <w:jc w:val="both"/>
      </w:pPr>
      <w:r>
        <w:rPr/>
        <w:t>Dampak</w:t>
      </w:r>
      <w:r>
        <w:rPr>
          <w:spacing w:val="-8"/>
        </w:rPr>
        <w:t> </w:t>
      </w:r>
      <w:r>
        <w:rPr/>
        <w:t>Positif</w:t>
      </w:r>
      <w:r>
        <w:rPr>
          <w:spacing w:val="-8"/>
        </w:rPr>
        <w:t> </w:t>
      </w:r>
      <w:r>
        <w:rPr/>
        <w:t>di</w:t>
      </w:r>
      <w:r>
        <w:rPr>
          <w:spacing w:val="-9"/>
        </w:rPr>
        <w:t> </w:t>
      </w:r>
      <w:r>
        <w:rPr/>
        <w:t>Bidang</w:t>
      </w:r>
      <w:r>
        <w:rPr>
          <w:spacing w:val="-7"/>
        </w:rPr>
        <w:t> </w:t>
      </w:r>
      <w:r>
        <w:rPr>
          <w:spacing w:val="-2"/>
        </w:rPr>
        <w:t>Ekonomi</w:t>
      </w:r>
    </w:p>
    <w:p>
      <w:pPr>
        <w:pStyle w:val="BodyText"/>
        <w:spacing w:line="360" w:lineRule="auto" w:before="161"/>
        <w:ind w:left="1843" w:right="704"/>
      </w:pPr>
      <w:r>
        <w:rPr/>
        <w:t>Dampak</w:t>
      </w:r>
      <w:r>
        <w:rPr>
          <w:spacing w:val="-14"/>
        </w:rPr>
        <w:t> </w:t>
      </w:r>
      <w:r>
        <w:rPr/>
        <w:t>positif</w:t>
      </w:r>
      <w:r>
        <w:rPr>
          <w:spacing w:val="-13"/>
        </w:rPr>
        <w:t> </w:t>
      </w:r>
      <w:r>
        <w:rPr/>
        <w:t>ekonomi</w:t>
      </w:r>
      <w:r>
        <w:rPr>
          <w:spacing w:val="37"/>
        </w:rPr>
        <w:t> </w:t>
      </w:r>
      <w:r>
        <w:rPr/>
        <w:t>didukung</w:t>
      </w:r>
      <w:r>
        <w:rPr>
          <w:spacing w:val="-16"/>
        </w:rPr>
        <w:t> </w:t>
      </w:r>
      <w:r>
        <w:rPr/>
        <w:t>oleh</w:t>
      </w:r>
      <w:r>
        <w:rPr>
          <w:spacing w:val="-16"/>
        </w:rPr>
        <w:t> </w:t>
      </w:r>
      <w:r>
        <w:rPr/>
        <w:t>sejumlah</w:t>
      </w:r>
      <w:r>
        <w:rPr>
          <w:spacing w:val="-15"/>
        </w:rPr>
        <w:t> </w:t>
      </w:r>
      <w:r>
        <w:rPr/>
        <w:t>faktor</w:t>
      </w:r>
      <w:r>
        <w:rPr>
          <w:spacing w:val="-11"/>
        </w:rPr>
        <w:t> </w:t>
      </w:r>
      <w:r>
        <w:rPr/>
        <w:t>seperti peluang investasi baru di Kabupaten Kutai Kartanegara, sektor ekonomi baru, potensi peningkatan kesempatan kerja, diversifikasi dan penciptaan sektor ekonomi baru dan potensi perdagangan antar wilayah. Pembangunan IKN dapat menjadi sumber pertumbuhan ekonomi baru bagi wilayah IKN dan sekitarnya, karena adanya peningkatan berbagai aktivitas ekonomi dan berkembangnya sektor-sektor ekonomi baru. Peluang ekonomi bagi masyarakat dan investor merupakan salah satu dampak positif dari pemindahan ibukota ke Kabupaten Kutai Kartanegara. Perekonomian masyarakat nantinya akan berpindah pada sektor barang dan jasa, diharapkan pula akan banyak perusahaan serta investor yang berinvestasi</w:t>
      </w:r>
      <w:r>
        <w:rPr>
          <w:spacing w:val="40"/>
        </w:rPr>
        <w:t> </w:t>
      </w:r>
      <w:r>
        <w:rPr/>
        <w:t>di</w:t>
      </w:r>
      <w:r>
        <w:rPr>
          <w:spacing w:val="40"/>
        </w:rPr>
        <w:t> </w:t>
      </w:r>
      <w:r>
        <w:rPr/>
        <w:t>daerah</w:t>
      </w:r>
      <w:r>
        <w:rPr>
          <w:spacing w:val="40"/>
        </w:rPr>
        <w:t> </w:t>
      </w:r>
      <w:r>
        <w:rPr/>
        <w:t>Kabupaten</w:t>
      </w:r>
      <w:r>
        <w:rPr>
          <w:spacing w:val="40"/>
        </w:rPr>
        <w:t> </w:t>
      </w:r>
      <w:r>
        <w:rPr/>
        <w:t>Kutai</w:t>
      </w:r>
      <w:r>
        <w:rPr>
          <w:spacing w:val="40"/>
        </w:rPr>
        <w:t> </w:t>
      </w:r>
      <w:r>
        <w:rPr/>
        <w:t>Kartanegara</w:t>
      </w:r>
      <w:r>
        <w:rPr>
          <w:spacing w:val="40"/>
        </w:rPr>
        <w:t> </w:t>
      </w:r>
      <w:r>
        <w:rPr/>
        <w:t>sebagai</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daerah penyangga IKN sehingga akan meningkatkan perekonomian yang ada pada wilayah tersebut.</w:t>
      </w:r>
    </w:p>
    <w:p>
      <w:pPr>
        <w:pStyle w:val="BodyText"/>
        <w:spacing w:before="163"/>
        <w:jc w:val="left"/>
      </w:pPr>
    </w:p>
    <w:p>
      <w:pPr>
        <w:pStyle w:val="BodyText"/>
        <w:spacing w:line="360" w:lineRule="auto" w:before="1"/>
        <w:ind w:left="1843" w:right="696"/>
      </w:pPr>
      <w:r>
        <w:rPr/>
        <w:t>Berdasarkan informasi yang diperoleh dari Kepala Dinas Pariwisata Pemerintah Kabupaten Kutai Kartanegara, Ridha, kondisi pariwisata di Kabupaten Kutai Kartanegara selama ini diakui tidak berkembang, karena memang belum dikembangkan. Dengan hadirnya IKN, kondisi ini mendorong Pemerintah Kabupaten Kutai Kartanegara untuk memikirikan peluang potensi ekonomi baru, agar dapat bersaing dengan wilayah tetangganya, seperti Kota Balikpapan dan Samarinda. Untuk</w:t>
      </w:r>
      <w:r>
        <w:rPr>
          <w:spacing w:val="-9"/>
        </w:rPr>
        <w:t> </w:t>
      </w:r>
      <w:r>
        <w:rPr/>
        <w:t>ini</w:t>
      </w:r>
      <w:r>
        <w:rPr>
          <w:spacing w:val="-15"/>
        </w:rPr>
        <w:t> </w:t>
      </w:r>
      <w:r>
        <w:rPr/>
        <w:t>diperlukan</w:t>
      </w:r>
      <w:r>
        <w:rPr>
          <w:spacing w:val="-11"/>
        </w:rPr>
        <w:t> </w:t>
      </w:r>
      <w:r>
        <w:rPr/>
        <w:t>keberpihakan</w:t>
      </w:r>
      <w:r>
        <w:rPr>
          <w:spacing w:val="-15"/>
        </w:rPr>
        <w:t> </w:t>
      </w:r>
      <w:r>
        <w:rPr/>
        <w:t>dan</w:t>
      </w:r>
      <w:r>
        <w:rPr>
          <w:spacing w:val="-15"/>
        </w:rPr>
        <w:t> </w:t>
      </w:r>
      <w:r>
        <w:rPr/>
        <w:t>dukungan</w:t>
      </w:r>
      <w:r>
        <w:rPr>
          <w:spacing w:val="-10"/>
        </w:rPr>
        <w:t> </w:t>
      </w:r>
      <w:r>
        <w:rPr/>
        <w:t>dari</w:t>
      </w:r>
      <w:r>
        <w:rPr>
          <w:spacing w:val="-15"/>
        </w:rPr>
        <w:t> </w:t>
      </w:r>
      <w:r>
        <w:rPr/>
        <w:t>pembuat kebijakan. Bahkan, menurut informasi Bahauddin, Kasub Koordinator</w:t>
      </w:r>
      <w:r>
        <w:rPr>
          <w:spacing w:val="-12"/>
        </w:rPr>
        <w:t> </w:t>
      </w:r>
      <w:r>
        <w:rPr/>
        <w:t>Dinas</w:t>
      </w:r>
      <w:r>
        <w:rPr>
          <w:spacing w:val="-12"/>
        </w:rPr>
        <w:t> </w:t>
      </w:r>
      <w:r>
        <w:rPr/>
        <w:t>DPMPTSP</w:t>
      </w:r>
      <w:r>
        <w:rPr>
          <w:spacing w:val="-10"/>
        </w:rPr>
        <w:t> </w:t>
      </w:r>
      <w:r>
        <w:rPr/>
        <w:t>(wawancara</w:t>
      </w:r>
      <w:r>
        <w:rPr>
          <w:spacing w:val="-12"/>
        </w:rPr>
        <w:t> </w:t>
      </w:r>
      <w:r>
        <w:rPr/>
        <w:t>24</w:t>
      </w:r>
      <w:r>
        <w:rPr>
          <w:spacing w:val="-10"/>
        </w:rPr>
        <w:t> </w:t>
      </w:r>
      <w:r>
        <w:rPr/>
        <w:t>Oktober</w:t>
      </w:r>
      <w:r>
        <w:rPr>
          <w:spacing w:val="-12"/>
        </w:rPr>
        <w:t> </w:t>
      </w:r>
      <w:r>
        <w:rPr/>
        <w:t>2023),</w:t>
      </w:r>
      <w:r>
        <w:rPr>
          <w:spacing w:val="-10"/>
        </w:rPr>
        <w:t> </w:t>
      </w:r>
      <w:r>
        <w:rPr/>
        <w:t>eks pengusaha tambang dilaporkan tengah menyiapkan bekas kawasan tambang menjadi kawasan </w:t>
      </w:r>
      <w:r>
        <w:rPr>
          <w:i/>
        </w:rPr>
        <w:t>property</w:t>
      </w:r>
      <w:r>
        <w:rPr/>
        <w:t>. Demikian pula dengan proyek hilirisasi produk perkebunan kelapa sawit sedang diupayakan dengan menggandeng PMA dan PMDN yang tertarik.</w:t>
      </w:r>
    </w:p>
    <w:p>
      <w:pPr>
        <w:pStyle w:val="BodyText"/>
        <w:spacing w:before="162"/>
        <w:jc w:val="left"/>
      </w:pPr>
    </w:p>
    <w:p>
      <w:pPr>
        <w:pStyle w:val="BodyText"/>
        <w:spacing w:line="360" w:lineRule="auto"/>
        <w:ind w:left="1843" w:right="700"/>
      </w:pPr>
      <w:r>
        <w:rPr/>
        <w:t>Hal senada dikemukakan oleh Ketua DPRD Kabupaten Kutai Kartanegara yang berpendapat bahwa kehadiran IKN dapat membawa</w:t>
      </w:r>
      <w:r>
        <w:rPr>
          <w:spacing w:val="-17"/>
        </w:rPr>
        <w:t> </w:t>
      </w:r>
      <w:r>
        <w:rPr/>
        <w:t>dampak</w:t>
      </w:r>
      <w:r>
        <w:rPr>
          <w:spacing w:val="-16"/>
        </w:rPr>
        <w:t> </w:t>
      </w:r>
      <w:r>
        <w:rPr/>
        <w:t>positif</w:t>
      </w:r>
      <w:r>
        <w:rPr>
          <w:spacing w:val="-17"/>
        </w:rPr>
        <w:t> </w:t>
      </w:r>
      <w:r>
        <w:rPr/>
        <w:t>berupa</w:t>
      </w:r>
      <w:r>
        <w:rPr>
          <w:spacing w:val="-16"/>
        </w:rPr>
        <w:t> </w:t>
      </w:r>
      <w:r>
        <w:rPr/>
        <w:t>penyerapan</w:t>
      </w:r>
      <w:r>
        <w:rPr>
          <w:spacing w:val="-17"/>
        </w:rPr>
        <w:t> </w:t>
      </w:r>
      <w:r>
        <w:rPr/>
        <w:t>tenaga</w:t>
      </w:r>
      <w:r>
        <w:rPr>
          <w:spacing w:val="-16"/>
        </w:rPr>
        <w:t> </w:t>
      </w:r>
      <w:r>
        <w:rPr/>
        <w:t>kerja</w:t>
      </w:r>
      <w:r>
        <w:rPr>
          <w:spacing w:val="-17"/>
        </w:rPr>
        <w:t> </w:t>
      </w:r>
      <w:r>
        <w:rPr/>
        <w:t>bagi masyarakat Kutai Kartanegara. Menurut informasi, untuk memenuhi</w:t>
      </w:r>
      <w:r>
        <w:rPr>
          <w:spacing w:val="-10"/>
        </w:rPr>
        <w:t> </w:t>
      </w:r>
      <w:r>
        <w:rPr/>
        <w:t>kebutuhan</w:t>
      </w:r>
      <w:r>
        <w:rPr>
          <w:spacing w:val="-7"/>
        </w:rPr>
        <w:t> </w:t>
      </w:r>
      <w:r>
        <w:rPr/>
        <w:t>tenaga</w:t>
      </w:r>
      <w:r>
        <w:rPr>
          <w:spacing w:val="-8"/>
        </w:rPr>
        <w:t> </w:t>
      </w:r>
      <w:r>
        <w:rPr/>
        <w:t>kerja</w:t>
      </w:r>
      <w:r>
        <w:rPr>
          <w:spacing w:val="-8"/>
        </w:rPr>
        <w:t> </w:t>
      </w:r>
      <w:r>
        <w:rPr/>
        <w:t>di</w:t>
      </w:r>
      <w:r>
        <w:rPr>
          <w:spacing w:val="-6"/>
        </w:rPr>
        <w:t> </w:t>
      </w:r>
      <w:r>
        <w:rPr/>
        <w:t>IKN</w:t>
      </w:r>
      <w:r>
        <w:rPr>
          <w:spacing w:val="-8"/>
        </w:rPr>
        <w:t> </w:t>
      </w:r>
      <w:r>
        <w:rPr/>
        <w:t>sebagian</w:t>
      </w:r>
      <w:r>
        <w:rPr>
          <w:spacing w:val="-10"/>
        </w:rPr>
        <w:t> </w:t>
      </w:r>
      <w:r>
        <w:rPr/>
        <w:t>masyarakat telah</w:t>
      </w:r>
      <w:r>
        <w:rPr>
          <w:spacing w:val="-10"/>
        </w:rPr>
        <w:t> </w:t>
      </w:r>
      <w:r>
        <w:rPr/>
        <w:t>diberikan</w:t>
      </w:r>
      <w:r>
        <w:rPr>
          <w:spacing w:val="-10"/>
        </w:rPr>
        <w:t> </w:t>
      </w:r>
      <w:r>
        <w:rPr/>
        <w:t>pelatihan-pelatihan</w:t>
      </w:r>
      <w:r>
        <w:rPr>
          <w:spacing w:val="-9"/>
        </w:rPr>
        <w:t> </w:t>
      </w:r>
      <w:r>
        <w:rPr/>
        <w:t>terkait</w:t>
      </w:r>
      <w:r>
        <w:rPr>
          <w:spacing w:val="-9"/>
        </w:rPr>
        <w:t> </w:t>
      </w:r>
      <w:r>
        <w:rPr/>
        <w:t>dengan</w:t>
      </w:r>
      <w:r>
        <w:rPr>
          <w:spacing w:val="-10"/>
        </w:rPr>
        <w:t> </w:t>
      </w:r>
      <w:r>
        <w:rPr/>
        <w:t>kemampuan dan keterampilan yang bersertifikasi yang dilakukan oleh instansi</w:t>
      </w:r>
      <w:r>
        <w:rPr>
          <w:spacing w:val="40"/>
        </w:rPr>
        <w:t> </w:t>
      </w:r>
      <w:r>
        <w:rPr/>
        <w:t>terkait,</w:t>
      </w:r>
      <w:r>
        <w:rPr>
          <w:spacing w:val="40"/>
        </w:rPr>
        <w:t> </w:t>
      </w:r>
      <w:r>
        <w:rPr/>
        <w:t>yakni Kementerian PUPR.</w:t>
      </w:r>
      <w:r>
        <w:rPr>
          <w:spacing w:val="40"/>
        </w:rPr>
        <w:t> </w:t>
      </w:r>
      <w:r>
        <w:rPr/>
        <w:t>Dampak ekonomi</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positif lainnya yakni mulai diserapkan produksi tanaman masyarakat Kutai Kartanegara untuk pekerja di IKN.</w:t>
      </w:r>
    </w:p>
    <w:p>
      <w:pPr>
        <w:pStyle w:val="BodyText"/>
        <w:spacing w:before="163"/>
        <w:jc w:val="left"/>
      </w:pPr>
    </w:p>
    <w:p>
      <w:pPr>
        <w:pStyle w:val="BodyText"/>
        <w:spacing w:line="360" w:lineRule="auto" w:before="1"/>
        <w:ind w:left="1843" w:right="699"/>
      </w:pPr>
      <w:r>
        <w:rPr/>
        <w:t>Sebagai contoh, kehadiran Otorita IKN positif bagi perkembangan masyarakat Kecamatan Loa Kulu, terutama terkait dengan penyerapan tenaga kerja. Artinya masyarakat yang tidak bekerja dapat terbantu dengan adanya kebutuhan SDM</w:t>
      </w:r>
      <w:r>
        <w:rPr>
          <w:spacing w:val="-14"/>
        </w:rPr>
        <w:t> </w:t>
      </w:r>
      <w:r>
        <w:rPr/>
        <w:t>terkait</w:t>
      </w:r>
      <w:r>
        <w:rPr>
          <w:spacing w:val="-10"/>
        </w:rPr>
        <w:t> </w:t>
      </w:r>
      <w:r>
        <w:rPr/>
        <w:t>dengan</w:t>
      </w:r>
      <w:r>
        <w:rPr>
          <w:spacing w:val="-11"/>
        </w:rPr>
        <w:t> </w:t>
      </w:r>
      <w:r>
        <w:rPr/>
        <w:t>pembangunan</w:t>
      </w:r>
      <w:r>
        <w:rPr>
          <w:spacing w:val="-10"/>
        </w:rPr>
        <w:t> </w:t>
      </w:r>
      <w:r>
        <w:rPr/>
        <w:t>IKN</w:t>
      </w:r>
      <w:r>
        <w:rPr>
          <w:spacing w:val="-12"/>
        </w:rPr>
        <w:t> </w:t>
      </w:r>
      <w:r>
        <w:rPr/>
        <w:t>yaitu</w:t>
      </w:r>
      <w:r>
        <w:rPr>
          <w:spacing w:val="-11"/>
        </w:rPr>
        <w:t> </w:t>
      </w:r>
      <w:r>
        <w:rPr/>
        <w:t>27</w:t>
      </w:r>
      <w:r>
        <w:rPr>
          <w:spacing w:val="-10"/>
        </w:rPr>
        <w:t> </w:t>
      </w:r>
      <w:r>
        <w:rPr/>
        <w:t>jenis</w:t>
      </w:r>
      <w:r>
        <w:rPr>
          <w:spacing w:val="-11"/>
        </w:rPr>
        <w:t> </w:t>
      </w:r>
      <w:r>
        <w:rPr/>
        <w:t>pekerjaan dengan jumlah kebutuhan tenaga kerja sebesar 23.000 orang dengan spesifikasi pendidikan rendah hingga pendidikan tinggi. Hal ini dikemukakan oleh Camat Loa Kulu yang mengakui bahwa saat ini Masyarakat Loa Kulu aktif dalam kegiatan-kegiatan Pembangunan IKN. Rekrutmen tenaga kerja dari Kecamatan Loa Kulu dipermudah. Masyarakat mendapat prioritas untuk bekerja di sektor pembangunan konstruksi IKN (Wawancara 26 Oktober 2023).</w:t>
      </w:r>
    </w:p>
    <w:p>
      <w:pPr>
        <w:pStyle w:val="BodyText"/>
        <w:spacing w:before="158"/>
        <w:jc w:val="left"/>
      </w:pPr>
    </w:p>
    <w:p>
      <w:pPr>
        <w:pStyle w:val="BodyText"/>
        <w:spacing w:line="360" w:lineRule="auto"/>
        <w:ind w:left="1843" w:right="704"/>
      </w:pPr>
      <w:r>
        <w:rPr/>
        <w:t>Selama</w:t>
      </w:r>
      <w:r>
        <w:rPr>
          <w:spacing w:val="-17"/>
        </w:rPr>
        <w:t> </w:t>
      </w:r>
      <w:r>
        <w:rPr/>
        <w:t>ini</w:t>
      </w:r>
      <w:r>
        <w:rPr>
          <w:spacing w:val="-12"/>
        </w:rPr>
        <w:t> </w:t>
      </w:r>
      <w:r>
        <w:rPr/>
        <w:t>juga</w:t>
      </w:r>
      <w:r>
        <w:rPr>
          <w:spacing w:val="-13"/>
        </w:rPr>
        <w:t> </w:t>
      </w:r>
      <w:r>
        <w:rPr/>
        <w:t>ada</w:t>
      </w:r>
      <w:r>
        <w:rPr>
          <w:spacing w:val="-13"/>
        </w:rPr>
        <w:t> </w:t>
      </w:r>
      <w:r>
        <w:rPr/>
        <w:t>pelatihan-pelatihan</w:t>
      </w:r>
      <w:r>
        <w:rPr>
          <w:spacing w:val="-12"/>
        </w:rPr>
        <w:t> </w:t>
      </w:r>
      <w:r>
        <w:rPr/>
        <w:t>bagi</w:t>
      </w:r>
      <w:r>
        <w:rPr>
          <w:spacing w:val="-12"/>
        </w:rPr>
        <w:t> </w:t>
      </w:r>
      <w:r>
        <w:rPr/>
        <w:t>masyarakat</w:t>
      </w:r>
      <w:r>
        <w:rPr>
          <w:spacing w:val="-11"/>
        </w:rPr>
        <w:t> </w:t>
      </w:r>
      <w:r>
        <w:rPr/>
        <w:t>umum yang diselenggarakan oleh Dinas PU Kabupaten Kutai Kartanegara maupun Dinas PU Provinsi. Terkait dengan lowongan kerja ini Kecamatan menginformasikan kepada masyarakat melalui Kecamatan ke Dinas PU Kabupaten Kutai Kartanegara untuk mengikuti pelatihan-pelatihan yang dibutuhkan. Ke depan ada peluang untuk meningkatkan kesejahteraan masyarakat jika masyarakat Kecamatan Loa Kulu benar-benar dapat bekerja di Otorita IKN dengan jenis pekerjaan mulai dari penggunaan alat berat sampai dengan pekerjaan yang membutuhkan jenjang pendidikan S2.</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99"/>
      </w:pPr>
      <w:r>
        <w:rPr/>
        <w:t>Dampak positif lainnya dari hadirnya IKN terkait dengan penduduk miskin. Dari informasi yang diperoleh di lapangan, beberapa desa/kelurahan yang wilayahnya diambil menjadi wilayah IKN memiliki penduduk miskin. Beberapa desa yang sudah mengakui hal tersebut misalnya Desa Loa Duri Ilir, Kecamatan</w:t>
      </w:r>
      <w:r>
        <w:rPr>
          <w:spacing w:val="-17"/>
        </w:rPr>
        <w:t> </w:t>
      </w:r>
      <w:r>
        <w:rPr/>
        <w:t>Loa</w:t>
      </w:r>
      <w:r>
        <w:rPr>
          <w:spacing w:val="-16"/>
        </w:rPr>
        <w:t> </w:t>
      </w:r>
      <w:r>
        <w:rPr/>
        <w:t>Janan.</w:t>
      </w:r>
      <w:r>
        <w:rPr>
          <w:spacing w:val="-17"/>
        </w:rPr>
        <w:t> </w:t>
      </w:r>
      <w:r>
        <w:rPr/>
        <w:t>Desa</w:t>
      </w:r>
      <w:r>
        <w:rPr>
          <w:spacing w:val="-16"/>
        </w:rPr>
        <w:t> </w:t>
      </w:r>
      <w:r>
        <w:rPr/>
        <w:t>ini</w:t>
      </w:r>
      <w:r>
        <w:rPr>
          <w:spacing w:val="-17"/>
        </w:rPr>
        <w:t> </w:t>
      </w:r>
      <w:r>
        <w:rPr/>
        <w:t>terletak</w:t>
      </w:r>
      <w:r>
        <w:rPr>
          <w:spacing w:val="-16"/>
        </w:rPr>
        <w:t> </w:t>
      </w:r>
      <w:r>
        <w:rPr/>
        <w:t>berbatasan</w:t>
      </w:r>
      <w:r>
        <w:rPr>
          <w:spacing w:val="-17"/>
        </w:rPr>
        <w:t> </w:t>
      </w:r>
      <w:r>
        <w:rPr/>
        <w:t>dengan</w:t>
      </w:r>
      <w:r>
        <w:rPr>
          <w:spacing w:val="-16"/>
        </w:rPr>
        <w:t> </w:t>
      </w:r>
      <w:r>
        <w:rPr/>
        <w:t>Desa Semoi, di Kecamatan Sepaku, Kabupaten Penajam Paser Utara. Sebagian kecil wilayahnya (terdiri dari 2 RT) dengan jumlah penduduk sekitar 400 jiwa masuk ke wilayah IKN. Sebagian besar penduduknya hanya lulusan SMP.</w:t>
      </w:r>
    </w:p>
    <w:p>
      <w:pPr>
        <w:pStyle w:val="BodyText"/>
        <w:spacing w:before="164"/>
        <w:jc w:val="left"/>
      </w:pPr>
    </w:p>
    <w:p>
      <w:pPr>
        <w:pStyle w:val="BodyText"/>
        <w:spacing w:line="360" w:lineRule="auto"/>
        <w:ind w:left="1843" w:right="699"/>
      </w:pPr>
      <w:r>
        <w:rPr/>
        <w:t>Sekda Kabupaten Kutai Kartanegara berpendapat bahwa pada prinsipnya Pemerintah Kabupaten Kutai Kartanegara menyambut positif kehadiran IKN, walaupun dampak ekonomi terhadap Kabupaten Kutai Katanegara relatif sedikit sekali karena jaraknya agak cukup jauh. Kehadiran IKN tampaknya membawa dampak besar hanya kepada Kota Balikpapan dan Pemerintah Daerah Kabupaten Penajam Paser Utara baik dari darat,</w:t>
      </w:r>
      <w:r>
        <w:rPr>
          <w:spacing w:val="-5"/>
        </w:rPr>
        <w:t> </w:t>
      </w:r>
      <w:r>
        <w:rPr/>
        <w:t>laut</w:t>
      </w:r>
      <w:r>
        <w:rPr>
          <w:spacing w:val="-10"/>
        </w:rPr>
        <w:t> </w:t>
      </w:r>
      <w:r>
        <w:rPr/>
        <w:t>dan</w:t>
      </w:r>
      <w:r>
        <w:rPr>
          <w:spacing w:val="-7"/>
        </w:rPr>
        <w:t> </w:t>
      </w:r>
      <w:r>
        <w:rPr/>
        <w:t>udara.</w:t>
      </w:r>
      <w:r>
        <w:rPr>
          <w:spacing w:val="-9"/>
        </w:rPr>
        <w:t> </w:t>
      </w:r>
      <w:r>
        <w:rPr/>
        <w:t>Pemerintah</w:t>
      </w:r>
      <w:r>
        <w:rPr>
          <w:spacing w:val="-11"/>
        </w:rPr>
        <w:t> </w:t>
      </w:r>
      <w:r>
        <w:rPr/>
        <w:t>Kabupaten</w:t>
      </w:r>
      <w:r>
        <w:rPr>
          <w:spacing w:val="-3"/>
        </w:rPr>
        <w:t> </w:t>
      </w:r>
      <w:r>
        <w:rPr/>
        <w:t>Kutai</w:t>
      </w:r>
      <w:r>
        <w:rPr>
          <w:spacing w:val="-7"/>
        </w:rPr>
        <w:t> </w:t>
      </w:r>
      <w:r>
        <w:rPr/>
        <w:t>Kartanegara sesungguhnya berharap besar terhadap Pembangunan IKN agar berdampak kepada Kabupaten Kutai Kartanegara. Misalnya, saat ini Kabupaten Kutai Kartanegara masih menghadapi kesulitan terkait akses jalan dan jembatan untuk menuju IKN. Oleh karena perlu dibuka akses yang menghubungkan Kabupaten Kutai Kartanegera dengan IKN melalui Desa Jonggon dan Desa Sungai Layang ke IKN.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0"/>
      </w:pPr>
      <w:r>
        <w:rPr/>
        <w:t>Demikian</w:t>
      </w:r>
      <w:r>
        <w:rPr>
          <w:spacing w:val="-7"/>
        </w:rPr>
        <w:t> </w:t>
      </w:r>
      <w:r>
        <w:rPr/>
        <w:t>juga,</w:t>
      </w:r>
      <w:r>
        <w:rPr>
          <w:spacing w:val="-5"/>
        </w:rPr>
        <w:t> </w:t>
      </w:r>
      <w:r>
        <w:rPr/>
        <w:t>diharapkan</w:t>
      </w:r>
      <w:r>
        <w:rPr>
          <w:spacing w:val="-7"/>
        </w:rPr>
        <w:t> </w:t>
      </w:r>
      <w:r>
        <w:rPr/>
        <w:t>Pembangunan</w:t>
      </w:r>
      <w:r>
        <w:rPr>
          <w:spacing w:val="-7"/>
        </w:rPr>
        <w:t> </w:t>
      </w:r>
      <w:r>
        <w:rPr/>
        <w:t>IKN</w:t>
      </w:r>
      <w:r>
        <w:rPr>
          <w:spacing w:val="-3"/>
        </w:rPr>
        <w:t> </w:t>
      </w:r>
      <w:r>
        <w:rPr/>
        <w:t>dapat</w:t>
      </w:r>
      <w:r>
        <w:rPr>
          <w:spacing w:val="-5"/>
        </w:rPr>
        <w:t> </w:t>
      </w:r>
      <w:r>
        <w:rPr/>
        <w:t>membuka akses ke IKN di luar jalur Samarinda – Balikpapan. Menurut Sekda Kutai Kartanegara, sebenarnya sangat memungkinkan dibuat akses jalan tol yang menghubungkan Tenggarong – Desa Jonggon ke IKN, dan segala fasilitas yang mendukung seperti pembangunan kota baru atau kota satelit, kawasan industri turunan dari sawit, kemudian pusat wisata seperti taman mini Indonesia Indah, Taman Safari Bogor.</w:t>
      </w:r>
    </w:p>
    <w:p>
      <w:pPr>
        <w:pStyle w:val="BodyText"/>
        <w:spacing w:before="162"/>
        <w:jc w:val="left"/>
      </w:pPr>
    </w:p>
    <w:p>
      <w:pPr>
        <w:pStyle w:val="BodyText"/>
        <w:spacing w:line="360" w:lineRule="auto"/>
        <w:ind w:left="1843" w:right="699"/>
      </w:pPr>
      <w:r>
        <w:rPr/>
        <w:t>Kabupaten Kutai Kartanegara masih memiliki lahan yang potensial dijadikan destinasi wisata, seperti</w:t>
      </w:r>
      <w:r>
        <w:rPr>
          <w:spacing w:val="-1"/>
        </w:rPr>
        <w:t> </w:t>
      </w:r>
      <w:r>
        <w:rPr/>
        <w:t>Pulau</w:t>
      </w:r>
      <w:r>
        <w:rPr>
          <w:spacing w:val="-2"/>
        </w:rPr>
        <w:t> </w:t>
      </w:r>
      <w:r>
        <w:rPr/>
        <w:t>Kumala yang memiliki</w:t>
      </w:r>
      <w:r>
        <w:rPr>
          <w:spacing w:val="-5"/>
        </w:rPr>
        <w:t> </w:t>
      </w:r>
      <w:r>
        <w:rPr/>
        <w:t>luas</w:t>
      </w:r>
      <w:r>
        <w:rPr>
          <w:spacing w:val="-7"/>
        </w:rPr>
        <w:t> </w:t>
      </w:r>
      <w:r>
        <w:rPr/>
        <w:t>83</w:t>
      </w:r>
      <w:r>
        <w:rPr>
          <w:spacing w:val="-6"/>
        </w:rPr>
        <w:t> </w:t>
      </w:r>
      <w:r>
        <w:rPr/>
        <w:t>ha</w:t>
      </w:r>
      <w:r>
        <w:rPr>
          <w:spacing w:val="-8"/>
        </w:rPr>
        <w:t> </w:t>
      </w:r>
      <w:r>
        <w:rPr/>
        <w:t>yang</w:t>
      </w:r>
      <w:r>
        <w:rPr>
          <w:spacing w:val="-8"/>
        </w:rPr>
        <w:t> </w:t>
      </w:r>
      <w:r>
        <w:rPr/>
        <w:t>berlokasi</w:t>
      </w:r>
      <w:r>
        <w:rPr>
          <w:spacing w:val="-6"/>
        </w:rPr>
        <w:t> </w:t>
      </w:r>
      <w:r>
        <w:rPr/>
        <w:t>di</w:t>
      </w:r>
      <w:r>
        <w:rPr>
          <w:spacing w:val="-6"/>
        </w:rPr>
        <w:t> </w:t>
      </w:r>
      <w:r>
        <w:rPr/>
        <w:t>Tengah</w:t>
      </w:r>
      <w:r>
        <w:rPr>
          <w:spacing w:val="-2"/>
        </w:rPr>
        <w:t> </w:t>
      </w:r>
      <w:r>
        <w:rPr/>
        <w:t>Sungai</w:t>
      </w:r>
      <w:r>
        <w:rPr>
          <w:spacing w:val="-6"/>
        </w:rPr>
        <w:t> </w:t>
      </w:r>
      <w:r>
        <w:rPr/>
        <w:t>Mahakam, dan kawasan lainnya (Wawancara Bahauddin, Kasub Koordinator, Dinas PMPTSP). Pemerintah Kabupaten Kutai Kartanegara</w:t>
      </w:r>
      <w:r>
        <w:rPr>
          <w:spacing w:val="-11"/>
        </w:rPr>
        <w:t> </w:t>
      </w:r>
      <w:r>
        <w:rPr/>
        <w:t>juga</w:t>
      </w:r>
      <w:r>
        <w:rPr>
          <w:spacing w:val="-12"/>
        </w:rPr>
        <w:t> </w:t>
      </w:r>
      <w:r>
        <w:rPr/>
        <w:t>berharap</w:t>
      </w:r>
      <w:r>
        <w:rPr>
          <w:spacing w:val="-11"/>
        </w:rPr>
        <w:t> </w:t>
      </w:r>
      <w:r>
        <w:rPr/>
        <w:t>ada</w:t>
      </w:r>
      <w:r>
        <w:rPr>
          <w:spacing w:val="-12"/>
        </w:rPr>
        <w:t> </w:t>
      </w:r>
      <w:r>
        <w:rPr/>
        <w:t>kompensasi</w:t>
      </w:r>
      <w:r>
        <w:rPr>
          <w:spacing w:val="-10"/>
        </w:rPr>
        <w:t> </w:t>
      </w:r>
      <w:r>
        <w:rPr/>
        <w:t>terhadap</w:t>
      </w:r>
      <w:r>
        <w:rPr>
          <w:spacing w:val="-11"/>
        </w:rPr>
        <w:t> </w:t>
      </w:r>
      <w:r>
        <w:rPr/>
        <w:t>hilangnya Pelabuhan laut yang terletak di Kecamatan Samboja, dimana Pemerintah</w:t>
      </w:r>
      <w:r>
        <w:rPr>
          <w:spacing w:val="-7"/>
        </w:rPr>
        <w:t> </w:t>
      </w:r>
      <w:r>
        <w:rPr/>
        <w:t>Daerah</w:t>
      </w:r>
      <w:r>
        <w:rPr>
          <w:spacing w:val="-7"/>
        </w:rPr>
        <w:t> </w:t>
      </w:r>
      <w:r>
        <w:rPr/>
        <w:t>Kutai</w:t>
      </w:r>
      <w:r>
        <w:rPr>
          <w:spacing w:val="-7"/>
        </w:rPr>
        <w:t> </w:t>
      </w:r>
      <w:r>
        <w:rPr/>
        <w:t>Kartanegara</w:t>
      </w:r>
      <w:r>
        <w:rPr>
          <w:spacing w:val="-7"/>
        </w:rPr>
        <w:t> </w:t>
      </w:r>
      <w:r>
        <w:rPr/>
        <w:t>telah</w:t>
      </w:r>
      <w:r>
        <w:rPr>
          <w:spacing w:val="-6"/>
        </w:rPr>
        <w:t> </w:t>
      </w:r>
      <w:r>
        <w:rPr/>
        <w:t>mengucurkan</w:t>
      </w:r>
      <w:r>
        <w:rPr>
          <w:spacing w:val="-6"/>
        </w:rPr>
        <w:t> </w:t>
      </w:r>
      <w:r>
        <w:rPr/>
        <w:t>dana sebesar Rp250 miliar untuk pembangunannya.</w:t>
      </w:r>
    </w:p>
    <w:p>
      <w:pPr>
        <w:pStyle w:val="BodyText"/>
        <w:spacing w:before="162"/>
        <w:jc w:val="left"/>
      </w:pPr>
    </w:p>
    <w:p>
      <w:pPr>
        <w:pStyle w:val="BodyText"/>
        <w:spacing w:line="360" w:lineRule="auto" w:before="1"/>
        <w:ind w:left="1843" w:right="699"/>
      </w:pPr>
      <w:r>
        <w:rPr/>
        <w:t>Dalam rangka merespon perkembangan situasi akibat Pembangunan IKN, pihak Pemerintah Kabupaten Kutai Kartanegara</w:t>
      </w:r>
      <w:r>
        <w:rPr>
          <w:spacing w:val="-13"/>
        </w:rPr>
        <w:t> </w:t>
      </w:r>
      <w:r>
        <w:rPr/>
        <w:t>telah</w:t>
      </w:r>
      <w:r>
        <w:rPr>
          <w:spacing w:val="-13"/>
        </w:rPr>
        <w:t> </w:t>
      </w:r>
      <w:r>
        <w:rPr/>
        <w:t>menyusun</w:t>
      </w:r>
      <w:r>
        <w:rPr>
          <w:spacing w:val="-13"/>
        </w:rPr>
        <w:t> </w:t>
      </w:r>
      <w:r>
        <w:rPr/>
        <w:t>perencanaan</w:t>
      </w:r>
      <w:r>
        <w:rPr>
          <w:spacing w:val="-12"/>
        </w:rPr>
        <w:t> </w:t>
      </w:r>
      <w:r>
        <w:rPr/>
        <w:t>pembangunan,</w:t>
      </w:r>
      <w:r>
        <w:rPr>
          <w:spacing w:val="-10"/>
        </w:rPr>
        <w:t> </w:t>
      </w:r>
      <w:r>
        <w:rPr/>
        <w:t>yang meliputi perencanaan pengembangan SDM, ekonomi, hukum, dan infrastruktur. Penyusunan perencanaan tersebut disusun bersama</w:t>
      </w:r>
      <w:r>
        <w:rPr>
          <w:spacing w:val="-3"/>
        </w:rPr>
        <w:t> </w:t>
      </w:r>
      <w:r>
        <w:rPr/>
        <w:t>dengan</w:t>
      </w:r>
      <w:r>
        <w:rPr>
          <w:spacing w:val="-2"/>
        </w:rPr>
        <w:t> </w:t>
      </w:r>
      <w:r>
        <w:rPr/>
        <w:t>Bappenas. Dinas</w:t>
      </w:r>
      <w:r>
        <w:rPr>
          <w:spacing w:val="-2"/>
        </w:rPr>
        <w:t> </w:t>
      </w:r>
      <w:r>
        <w:rPr/>
        <w:t>Tata</w:t>
      </w:r>
      <w:r>
        <w:rPr>
          <w:spacing w:val="-2"/>
        </w:rPr>
        <w:t> </w:t>
      </w:r>
      <w:r>
        <w:rPr/>
        <w:t>Ruang Kabupaten</w:t>
      </w:r>
      <w:r>
        <w:rPr>
          <w:spacing w:val="-2"/>
        </w:rPr>
        <w:t> </w:t>
      </w:r>
      <w:r>
        <w:rPr/>
        <w:t>Kutai Kartanegara memberikan informasi bahwa Pembangunan IKN akan</w:t>
      </w:r>
      <w:r>
        <w:rPr>
          <w:spacing w:val="-15"/>
        </w:rPr>
        <w:t> </w:t>
      </w:r>
      <w:r>
        <w:rPr/>
        <w:t>berdampak</w:t>
      </w:r>
      <w:r>
        <w:rPr>
          <w:spacing w:val="-13"/>
        </w:rPr>
        <w:t> </w:t>
      </w:r>
      <w:r>
        <w:rPr/>
        <w:t>pada</w:t>
      </w:r>
      <w:r>
        <w:rPr>
          <w:spacing w:val="-15"/>
        </w:rPr>
        <w:t> </w:t>
      </w:r>
      <w:r>
        <w:rPr/>
        <w:t>perubahan</w:t>
      </w:r>
      <w:r>
        <w:rPr>
          <w:spacing w:val="-15"/>
        </w:rPr>
        <w:t> </w:t>
      </w:r>
      <w:r>
        <w:rPr/>
        <w:t>tata</w:t>
      </w:r>
      <w:r>
        <w:rPr>
          <w:spacing w:val="-16"/>
        </w:rPr>
        <w:t> </w:t>
      </w:r>
      <w:r>
        <w:rPr/>
        <w:t>ruang</w:t>
      </w:r>
      <w:r>
        <w:rPr>
          <w:spacing w:val="-15"/>
        </w:rPr>
        <w:t> </w:t>
      </w:r>
      <w:r>
        <w:rPr/>
        <w:t>di</w:t>
      </w:r>
      <w:r>
        <w:rPr>
          <w:spacing w:val="-15"/>
        </w:rPr>
        <w:t> </w:t>
      </w:r>
      <w:r>
        <w:rPr/>
        <w:t>KabupatenKutai Kartanegara (Wawancara pada tanggal 24 Oktober 2023).</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Saat</w:t>
      </w:r>
      <w:r>
        <w:rPr>
          <w:spacing w:val="-11"/>
        </w:rPr>
        <w:t> </w:t>
      </w:r>
      <w:r>
        <w:rPr/>
        <w:t>ini</w:t>
      </w:r>
      <w:r>
        <w:rPr>
          <w:spacing w:val="-12"/>
        </w:rPr>
        <w:t> </w:t>
      </w:r>
      <w:r>
        <w:rPr/>
        <w:t>K/L</w:t>
      </w:r>
      <w:r>
        <w:rPr>
          <w:spacing w:val="-10"/>
        </w:rPr>
        <w:t> </w:t>
      </w:r>
      <w:r>
        <w:rPr/>
        <w:t>(Bappenas/Kementerian</w:t>
      </w:r>
      <w:r>
        <w:rPr>
          <w:spacing w:val="-12"/>
        </w:rPr>
        <w:t> </w:t>
      </w:r>
      <w:r>
        <w:rPr/>
        <w:t>ATR/BPN)</w:t>
      </w:r>
      <w:r>
        <w:rPr>
          <w:spacing w:val="-11"/>
        </w:rPr>
        <w:t> </w:t>
      </w:r>
      <w:r>
        <w:rPr/>
        <w:t>telah</w:t>
      </w:r>
      <w:r>
        <w:rPr>
          <w:spacing w:val="-13"/>
        </w:rPr>
        <w:t> </w:t>
      </w:r>
      <w:r>
        <w:rPr/>
        <w:t>membantu Pemerintah Daerah Kabupaten Kutai Kartanegara, termasuk seluruh kecamatan dalam penyusunan tata ruang yang baru. Sampai saat ini tidak ada kendala dalam pembahasan rencana tata ruang wilayah.</w:t>
      </w:r>
    </w:p>
    <w:p>
      <w:pPr>
        <w:pStyle w:val="BodyText"/>
        <w:spacing w:before="163"/>
        <w:jc w:val="left"/>
      </w:pPr>
    </w:p>
    <w:p>
      <w:pPr>
        <w:pStyle w:val="BodyText"/>
        <w:spacing w:line="360" w:lineRule="auto"/>
        <w:ind w:left="1843" w:right="697"/>
      </w:pPr>
      <w:r>
        <w:rPr/>
        <w:t>Diakui tidak ada kegiatan pembangunan yang terhambat di Kabupaten Kutai Kartanegara. Pembangunan masih tetap berjalan seperti biasa, termasuk di wilayah kecamatan yang masuk ke dalam IKN. Misalnya, Pembangunan tetap dilaksanakan di Kecamatan Samboja Barat, yang seluruh wilayahnya masuk IKN. Demikian pula pelayanan publik masih tetap berjalan seperti biasa. Bahkan, telah dilakukan perbaikan terhadap kewenangan perizinan yang semula diambil oleh OIKN telah dikembalikan ke Dinas Penanaman Modal dan Pelayanan Terpadu Satu Pintu (DPMPTSP) Kabupaten Kutai </w:t>
      </w:r>
      <w:r>
        <w:rPr>
          <w:spacing w:val="-2"/>
        </w:rPr>
        <w:t>Kartanegara.</w:t>
      </w:r>
    </w:p>
    <w:p>
      <w:pPr>
        <w:pStyle w:val="Heading2"/>
        <w:numPr>
          <w:ilvl w:val="0"/>
          <w:numId w:val="33"/>
        </w:numPr>
        <w:tabs>
          <w:tab w:pos="1842" w:val="left" w:leader="none"/>
        </w:tabs>
        <w:spacing w:line="240" w:lineRule="auto" w:before="316" w:after="0"/>
        <w:ind w:left="1842" w:right="0" w:hanging="566"/>
        <w:jc w:val="both"/>
      </w:pPr>
      <w:r>
        <w:rPr/>
        <w:t>Dampak</w:t>
      </w:r>
      <w:r>
        <w:rPr>
          <w:spacing w:val="-7"/>
        </w:rPr>
        <w:t> </w:t>
      </w:r>
      <w:r>
        <w:rPr/>
        <w:t>Negatif</w:t>
      </w:r>
      <w:r>
        <w:rPr>
          <w:spacing w:val="-9"/>
        </w:rPr>
        <w:t> </w:t>
      </w:r>
      <w:r>
        <w:rPr/>
        <w:t>Bidang</w:t>
      </w:r>
      <w:r>
        <w:rPr>
          <w:spacing w:val="-6"/>
        </w:rPr>
        <w:t> </w:t>
      </w:r>
      <w:r>
        <w:rPr>
          <w:spacing w:val="-2"/>
        </w:rPr>
        <w:t>Ekonomi</w:t>
      </w:r>
    </w:p>
    <w:p>
      <w:pPr>
        <w:pStyle w:val="BodyText"/>
        <w:spacing w:line="360" w:lineRule="auto" w:before="161"/>
        <w:ind w:left="1843" w:right="705" w:firstLine="67"/>
      </w:pPr>
      <w:r>
        <w:rPr/>
        <w:t>Namun, di sisi lain pembangunan IKN akan menimbulkan dampak negatif bagi daerah penyangga sekitarnya termasuk Kabupaten Kutai Kartanegara. Masuknya sebagian wilayah Kabupaten Kutai Kartanegara ke IKN akan berdampak pada berkurangnya pendapatan dan juga memberikan dampak terhadap belanja pemerintah daerah.</w:t>
      </w:r>
    </w:p>
    <w:p>
      <w:pPr>
        <w:pStyle w:val="BodyText"/>
        <w:spacing w:before="164"/>
        <w:jc w:val="left"/>
      </w:pPr>
    </w:p>
    <w:p>
      <w:pPr>
        <w:pStyle w:val="BodyText"/>
        <w:spacing w:line="360" w:lineRule="auto"/>
        <w:ind w:left="1843" w:right="701"/>
      </w:pPr>
      <w:r>
        <w:rPr/>
        <w:t>Menurut</w:t>
      </w:r>
      <w:r>
        <w:rPr>
          <w:spacing w:val="-14"/>
        </w:rPr>
        <w:t> </w:t>
      </w:r>
      <w:r>
        <w:rPr/>
        <w:t>KPPOD</w:t>
      </w:r>
      <w:r>
        <w:rPr>
          <w:spacing w:val="-15"/>
        </w:rPr>
        <w:t> </w:t>
      </w:r>
      <w:r>
        <w:rPr/>
        <w:t>dalam</w:t>
      </w:r>
      <w:r>
        <w:rPr>
          <w:spacing w:val="-15"/>
        </w:rPr>
        <w:t> </w:t>
      </w:r>
      <w:r>
        <w:rPr/>
        <w:t>FGD</w:t>
      </w:r>
      <w:r>
        <w:rPr>
          <w:spacing w:val="-15"/>
        </w:rPr>
        <w:t> </w:t>
      </w:r>
      <w:r>
        <w:rPr/>
        <w:t>di</w:t>
      </w:r>
      <w:r>
        <w:rPr>
          <w:spacing w:val="-15"/>
        </w:rPr>
        <w:t> </w:t>
      </w:r>
      <w:r>
        <w:rPr/>
        <w:t>BRIN</w:t>
      </w:r>
      <w:r>
        <w:rPr>
          <w:spacing w:val="-16"/>
        </w:rPr>
        <w:t> </w:t>
      </w:r>
      <w:r>
        <w:rPr/>
        <w:t>Jakarta</w:t>
      </w:r>
      <w:r>
        <w:rPr>
          <w:spacing w:val="-16"/>
        </w:rPr>
        <w:t> </w:t>
      </w:r>
      <w:r>
        <w:rPr/>
        <w:t>13</w:t>
      </w:r>
      <w:r>
        <w:rPr>
          <w:spacing w:val="-14"/>
        </w:rPr>
        <w:t> </w:t>
      </w:r>
      <w:r>
        <w:rPr/>
        <w:t>November</w:t>
      </w:r>
      <w:r>
        <w:rPr>
          <w:spacing w:val="-16"/>
        </w:rPr>
        <w:t> </w:t>
      </w:r>
      <w:r>
        <w:rPr/>
        <w:t>2023, potensi</w:t>
      </w:r>
      <w:r>
        <w:rPr>
          <w:spacing w:val="40"/>
        </w:rPr>
        <w:t> </w:t>
      </w:r>
      <w:r>
        <w:rPr/>
        <w:t>dampak</w:t>
      </w:r>
      <w:r>
        <w:rPr>
          <w:spacing w:val="40"/>
        </w:rPr>
        <w:t> </w:t>
      </w:r>
      <w:r>
        <w:rPr/>
        <w:t>ekonomi</w:t>
      </w:r>
      <w:r>
        <w:rPr>
          <w:spacing w:val="40"/>
        </w:rPr>
        <w:t> </w:t>
      </w:r>
      <w:r>
        <w:rPr/>
        <w:t>negatif</w:t>
      </w:r>
      <w:r>
        <w:rPr>
          <w:spacing w:val="40"/>
        </w:rPr>
        <w:t> </w:t>
      </w:r>
      <w:r>
        <w:rPr/>
        <w:t>salah</w:t>
      </w:r>
      <w:r>
        <w:rPr>
          <w:spacing w:val="40"/>
        </w:rPr>
        <w:t> </w:t>
      </w:r>
      <w:r>
        <w:rPr/>
        <w:t>satunya</w:t>
      </w:r>
      <w:r>
        <w:rPr>
          <w:spacing w:val="40"/>
        </w:rPr>
        <w:t> </w:t>
      </w:r>
      <w:r>
        <w:rPr/>
        <w:t>terdapat</w:t>
      </w:r>
      <w:r>
        <w:rPr>
          <w:spacing w:val="40"/>
        </w:rPr>
        <w:t> </w:t>
      </w:r>
      <w:r>
        <w:rPr/>
        <w:t>di</w:t>
      </w:r>
    </w:p>
    <w:p>
      <w:pPr>
        <w:pStyle w:val="BodyText"/>
        <w:spacing w:after="0" w:line="360" w:lineRule="auto"/>
        <w:sectPr>
          <w:pgSz w:w="11910" w:h="16840"/>
          <w:pgMar w:header="0" w:footer="1186" w:top="1580" w:bottom="1380" w:left="1700" w:right="992"/>
        </w:sectPr>
      </w:pPr>
    </w:p>
    <w:p>
      <w:pPr>
        <w:pStyle w:val="BodyText"/>
        <w:spacing w:before="82"/>
        <w:ind w:left="1843"/>
      </w:pPr>
      <w:r>
        <w:rPr/>
        <w:t>pendapatan</w:t>
      </w:r>
      <w:r>
        <w:rPr>
          <w:spacing w:val="-1"/>
        </w:rPr>
        <w:t> </w:t>
      </w:r>
      <w:r>
        <w:rPr/>
        <w:t>pajak</w:t>
      </w:r>
      <w:r>
        <w:rPr>
          <w:spacing w:val="2"/>
        </w:rPr>
        <w:t> </w:t>
      </w:r>
      <w:r>
        <w:rPr/>
        <w:t>yang</w:t>
      </w:r>
      <w:r>
        <w:rPr>
          <w:spacing w:val="-1"/>
        </w:rPr>
        <w:t> </w:t>
      </w:r>
      <w:r>
        <w:rPr/>
        <w:t>besarannya masih</w:t>
      </w:r>
      <w:r>
        <w:rPr>
          <w:spacing w:val="-2"/>
        </w:rPr>
        <w:t> </w:t>
      </w:r>
      <w:r>
        <w:rPr/>
        <w:t>besar di Pusat,</w:t>
      </w:r>
      <w:r>
        <w:rPr>
          <w:spacing w:val="2"/>
        </w:rPr>
        <w:t> </w:t>
      </w:r>
      <w:r>
        <w:rPr>
          <w:spacing w:val="-2"/>
        </w:rPr>
        <w:t>yaitu</w:t>
      </w:r>
    </w:p>
    <w:p>
      <w:pPr>
        <w:pStyle w:val="BodyText"/>
        <w:spacing w:line="362" w:lineRule="auto" w:before="161"/>
        <w:ind w:left="1843" w:right="706"/>
      </w:pPr>
      <w:r>
        <w:rPr/>
        <w:t>: PBJT Penggunaan listrik yang dihasilkan sendiri; PBB P2 (tarif 0,5%);</w:t>
      </w:r>
      <w:r>
        <w:rPr>
          <w:spacing w:val="40"/>
        </w:rPr>
        <w:t> </w:t>
      </w:r>
      <w:r>
        <w:rPr/>
        <w:t>PAB</w:t>
      </w:r>
      <w:r>
        <w:rPr>
          <w:spacing w:val="40"/>
        </w:rPr>
        <w:t> </w:t>
      </w:r>
      <w:r>
        <w:rPr/>
        <w:t>(tarif</w:t>
      </w:r>
      <w:r>
        <w:rPr>
          <w:spacing w:val="40"/>
        </w:rPr>
        <w:t> </w:t>
      </w:r>
      <w:r>
        <w:rPr/>
        <w:t>0,2n);</w:t>
      </w:r>
      <w:r>
        <w:rPr>
          <w:spacing w:val="40"/>
        </w:rPr>
        <w:t> </w:t>
      </w:r>
      <w:r>
        <w:rPr/>
        <w:t>PAB</w:t>
      </w:r>
      <w:r>
        <w:rPr>
          <w:spacing w:val="40"/>
        </w:rPr>
        <w:t> </w:t>
      </w:r>
      <w:r>
        <w:rPr/>
        <w:t>(tarif</w:t>
      </w:r>
      <w:r>
        <w:rPr>
          <w:spacing w:val="40"/>
        </w:rPr>
        <w:t> </w:t>
      </w:r>
      <w:r>
        <w:rPr/>
        <w:t>0,2</w:t>
      </w:r>
      <w:r>
        <w:rPr>
          <w:spacing w:val="40"/>
        </w:rPr>
        <w:t> </w:t>
      </w:r>
      <w:r>
        <w:rPr/>
        <w:t>n);</w:t>
      </w:r>
      <w:r>
        <w:rPr>
          <w:spacing w:val="40"/>
        </w:rPr>
        <w:t> </w:t>
      </w:r>
      <w:r>
        <w:rPr/>
        <w:t>BPHTB</w:t>
      </w:r>
      <w:r>
        <w:rPr>
          <w:spacing w:val="40"/>
        </w:rPr>
        <w:t> </w:t>
      </w:r>
      <w:r>
        <w:rPr/>
        <w:t>(TARIK</w:t>
      </w:r>
      <w:r>
        <w:rPr>
          <w:spacing w:val="40"/>
        </w:rPr>
        <w:t> </w:t>
      </w:r>
      <w:r>
        <w:rPr/>
        <w:t>5%).</w:t>
      </w:r>
    </w:p>
    <w:p>
      <w:pPr>
        <w:pStyle w:val="BodyText"/>
        <w:spacing w:line="360" w:lineRule="auto"/>
        <w:ind w:left="1843" w:right="705"/>
      </w:pPr>
      <w:r>
        <w:rPr/>
        <w:t>Akibat bergabungnya wilayah Kabupaten Kutai Kartanegara ke IKN, objek pajak akan berkurang, termasuk pendapatan dari retribusi objek wisata, serta berkurangnya pajak pendapatan </w:t>
      </w:r>
      <w:r>
        <w:rPr>
          <w:spacing w:val="-2"/>
        </w:rPr>
        <w:t>perizinan-perizinan.</w:t>
      </w:r>
    </w:p>
    <w:p>
      <w:pPr>
        <w:pStyle w:val="BodyText"/>
        <w:spacing w:before="157"/>
        <w:jc w:val="left"/>
      </w:pPr>
    </w:p>
    <w:p>
      <w:pPr>
        <w:pStyle w:val="BodyText"/>
        <w:spacing w:line="360" w:lineRule="auto"/>
        <w:ind w:left="1843" w:right="698"/>
      </w:pPr>
      <w:r>
        <w:rPr/>
        <w:t>Menurut informasi dari Dinas Pariwisata Kabupaten Kutai Kartanegara (Wawancara 24 Oktober 2023 dengan Ridha), berdasarkan pemetaan terhadap sektor pariwisata yang terdampak hilang akibat delienasi yang dilakukan oleh pihak Dinas</w:t>
      </w:r>
      <w:r>
        <w:rPr>
          <w:spacing w:val="-7"/>
        </w:rPr>
        <w:t> </w:t>
      </w:r>
      <w:r>
        <w:rPr/>
        <w:t>Pariwisata</w:t>
      </w:r>
      <w:r>
        <w:rPr>
          <w:spacing w:val="-7"/>
        </w:rPr>
        <w:t> </w:t>
      </w:r>
      <w:r>
        <w:rPr/>
        <w:t>Kabupaten</w:t>
      </w:r>
      <w:r>
        <w:rPr>
          <w:spacing w:val="-7"/>
        </w:rPr>
        <w:t> </w:t>
      </w:r>
      <w:r>
        <w:rPr/>
        <w:t>Kutai</w:t>
      </w:r>
      <w:r>
        <w:rPr>
          <w:spacing w:val="-11"/>
        </w:rPr>
        <w:t> </w:t>
      </w:r>
      <w:r>
        <w:rPr/>
        <w:t>Kartanegara</w:t>
      </w:r>
      <w:r>
        <w:rPr>
          <w:spacing w:val="-7"/>
        </w:rPr>
        <w:t> </w:t>
      </w:r>
      <w:r>
        <w:rPr/>
        <w:t>mengidentifikasi bahwa pemasukan sektor pariwisata yakni wisata Pantai dan alam di wilayah konservasi, Bukit Bengkirai, yang dikelola Pemerintah Kabupaten Kutai Kartanegara, yang terletak di Kecamatan Samboja, terancam hilang dan beralih pengelolaan ke IKN.</w:t>
      </w:r>
    </w:p>
    <w:p>
      <w:pPr>
        <w:pStyle w:val="BodyText"/>
        <w:spacing w:before="160"/>
        <w:jc w:val="left"/>
      </w:pPr>
    </w:p>
    <w:p>
      <w:pPr>
        <w:pStyle w:val="BodyText"/>
        <w:spacing w:line="360" w:lineRule="auto"/>
        <w:ind w:left="1843" w:right="699"/>
      </w:pPr>
      <w:r>
        <w:rPr/>
        <w:t>Berdasarkan hasil wawancara yang dilakukan di Kabupaten Kutai Kartanegara oleh tim peneliti, dengan adanya Pergub Nomor 6 Tahun 2020 Tentang Pengendalian Peralihan Penggunaaan</w:t>
      </w:r>
      <w:r>
        <w:rPr>
          <w:spacing w:val="-17"/>
        </w:rPr>
        <w:t> </w:t>
      </w:r>
      <w:r>
        <w:rPr/>
        <w:t>Tanah</w:t>
      </w:r>
      <w:r>
        <w:rPr>
          <w:spacing w:val="-16"/>
        </w:rPr>
        <w:t> </w:t>
      </w:r>
      <w:r>
        <w:rPr/>
        <w:t>dan</w:t>
      </w:r>
      <w:r>
        <w:rPr>
          <w:spacing w:val="-17"/>
        </w:rPr>
        <w:t> </w:t>
      </w:r>
      <w:r>
        <w:rPr/>
        <w:t>Perizinan</w:t>
      </w:r>
      <w:r>
        <w:rPr>
          <w:spacing w:val="-16"/>
        </w:rPr>
        <w:t> </w:t>
      </w:r>
      <w:r>
        <w:rPr/>
        <w:t>Pada</w:t>
      </w:r>
      <w:r>
        <w:rPr>
          <w:spacing w:val="-17"/>
        </w:rPr>
        <w:t> </w:t>
      </w:r>
      <w:r>
        <w:rPr/>
        <w:t>Kawasan</w:t>
      </w:r>
      <w:r>
        <w:rPr>
          <w:spacing w:val="-16"/>
        </w:rPr>
        <w:t> </w:t>
      </w:r>
      <w:r>
        <w:rPr/>
        <w:t>Calon</w:t>
      </w:r>
      <w:r>
        <w:rPr>
          <w:spacing w:val="-17"/>
        </w:rPr>
        <w:t> </w:t>
      </w:r>
      <w:r>
        <w:rPr/>
        <w:t>Ibukota Negara dan Kawasan Penyangga, maka dinas PTSP tidak bisa lagi menerbitkan izin usaha, karena sudah masuk wilayah kewenangan Otoritas IKN (OIKN). Banyak aset-aset Pemda Kabupaten</w:t>
      </w:r>
      <w:r>
        <w:rPr>
          <w:spacing w:val="-2"/>
        </w:rPr>
        <w:t> </w:t>
      </w:r>
      <w:r>
        <w:rPr/>
        <w:t>Kutai</w:t>
      </w:r>
      <w:r>
        <w:rPr>
          <w:spacing w:val="-1"/>
        </w:rPr>
        <w:t> </w:t>
      </w:r>
      <w:r>
        <w:rPr/>
        <w:t>Kartanegara</w:t>
      </w:r>
      <w:r>
        <w:rPr>
          <w:spacing w:val="-3"/>
        </w:rPr>
        <w:t> </w:t>
      </w:r>
      <w:r>
        <w:rPr/>
        <w:t>di</w:t>
      </w:r>
      <w:r>
        <w:rPr>
          <w:spacing w:val="-1"/>
        </w:rPr>
        <w:t> </w:t>
      </w:r>
      <w:r>
        <w:rPr/>
        <w:t>6 OPD</w:t>
      </w:r>
      <w:r>
        <w:rPr>
          <w:spacing w:val="-1"/>
        </w:rPr>
        <w:t> </w:t>
      </w:r>
      <w:r>
        <w:rPr/>
        <w:t>kecamatan</w:t>
      </w:r>
      <w:r>
        <w:rPr>
          <w:spacing w:val="-2"/>
        </w:rPr>
        <w:t> </w:t>
      </w:r>
      <w:r>
        <w:rPr/>
        <w:t>yang</w:t>
      </w:r>
      <w:r>
        <w:rPr>
          <w:spacing w:val="-3"/>
        </w:rPr>
        <w:t> </w:t>
      </w:r>
      <w:r>
        <w:rPr/>
        <w:t>masuk ke</w:t>
      </w:r>
      <w:r>
        <w:rPr>
          <w:spacing w:val="40"/>
        </w:rPr>
        <w:t> </w:t>
      </w:r>
      <w:r>
        <w:rPr/>
        <w:t>wilayah</w:t>
      </w:r>
      <w:r>
        <w:rPr>
          <w:spacing w:val="40"/>
        </w:rPr>
        <w:t> </w:t>
      </w:r>
      <w:r>
        <w:rPr/>
        <w:t>IKN</w:t>
      </w:r>
      <w:r>
        <w:rPr>
          <w:spacing w:val="40"/>
        </w:rPr>
        <w:t> </w:t>
      </w:r>
      <w:r>
        <w:rPr/>
        <w:t>juga</w:t>
      </w:r>
      <w:r>
        <w:rPr>
          <w:spacing w:val="40"/>
        </w:rPr>
        <w:t> </w:t>
      </w:r>
      <w:r>
        <w:rPr/>
        <w:t>memberikan</w:t>
      </w:r>
      <w:r>
        <w:rPr>
          <w:spacing w:val="40"/>
        </w:rPr>
        <w:t> </w:t>
      </w:r>
      <w:r>
        <w:rPr/>
        <w:t>potensi</w:t>
      </w:r>
      <w:r>
        <w:rPr>
          <w:spacing w:val="40"/>
        </w:rPr>
        <w:t> </w:t>
      </w:r>
      <w:r>
        <w:rPr/>
        <w:t>kerugian,</w:t>
      </w:r>
      <w:r>
        <w:rPr>
          <w:spacing w:val="40"/>
        </w:rPr>
        <w:t> </w:t>
      </w:r>
      <w:r>
        <w:rPr/>
        <w:t>aset</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peralatan dan mesin termasuk penerangan jalan umum (PJU), aset tanah, gedung dan bangunan serta jalan irigasi dan </w:t>
      </w:r>
      <w:r>
        <w:rPr>
          <w:spacing w:val="-2"/>
        </w:rPr>
        <w:t>jaringan.</w:t>
      </w:r>
    </w:p>
    <w:p>
      <w:pPr>
        <w:pStyle w:val="BodyText"/>
        <w:spacing w:before="165"/>
        <w:jc w:val="left"/>
      </w:pPr>
    </w:p>
    <w:p>
      <w:pPr>
        <w:pStyle w:val="BodyText"/>
        <w:spacing w:line="360" w:lineRule="auto"/>
        <w:ind w:left="1843" w:right="706"/>
      </w:pPr>
      <w:r>
        <w:rPr/>
        <w:t>Sebagai dampak positif dari sektor ketenagakerjaan, dimana akan semakin banyak tenaga kerja yang direkrut dalam Pembangunan IKN, ternyata dalam praktiknya menimbulkan persoalan yang menjadi dampak negatif yang harus dihadapi Pemerintah Kabupaten Kutai Kartanegara.</w:t>
      </w:r>
    </w:p>
    <w:p>
      <w:pPr>
        <w:pStyle w:val="BodyText"/>
        <w:spacing w:before="158"/>
        <w:jc w:val="left"/>
      </w:pPr>
    </w:p>
    <w:p>
      <w:pPr>
        <w:pStyle w:val="BodyText"/>
        <w:spacing w:line="360" w:lineRule="auto"/>
        <w:ind w:left="1843" w:right="699"/>
      </w:pPr>
      <w:r>
        <w:rPr/>
        <w:t>Terkait pemberdayaan SDM lokal untuk pembangunan IKN, khususnya pembangunan proyek-proyek infrastruktur, dikuatirkan terjadi ketimpangan harga jasa tukang, seperti dalam kasus pembangunan jalan tol. Di Desa Tani Bhakti, jasa tukang</w:t>
      </w:r>
      <w:r>
        <w:rPr>
          <w:spacing w:val="-5"/>
        </w:rPr>
        <w:t> </w:t>
      </w:r>
      <w:r>
        <w:rPr/>
        <w:t>Rp.</w:t>
      </w:r>
      <w:r>
        <w:rPr>
          <w:spacing w:val="-11"/>
        </w:rPr>
        <w:t> </w:t>
      </w:r>
      <w:r>
        <w:rPr/>
        <w:t>120.000/hari,</w:t>
      </w:r>
      <w:r>
        <w:rPr>
          <w:spacing w:val="-11"/>
        </w:rPr>
        <w:t> </w:t>
      </w:r>
      <w:r>
        <w:rPr/>
        <w:t>namun</w:t>
      </w:r>
      <w:r>
        <w:rPr>
          <w:spacing w:val="-13"/>
        </w:rPr>
        <w:t> </w:t>
      </w:r>
      <w:r>
        <w:rPr/>
        <w:t>untuk</w:t>
      </w:r>
      <w:r>
        <w:rPr>
          <w:spacing w:val="-11"/>
        </w:rPr>
        <w:t> </w:t>
      </w:r>
      <w:r>
        <w:rPr/>
        <w:t>pembangunan</w:t>
      </w:r>
      <w:r>
        <w:rPr>
          <w:spacing w:val="-12"/>
        </w:rPr>
        <w:t> </w:t>
      </w:r>
      <w:r>
        <w:rPr/>
        <w:t>tol</w:t>
      </w:r>
      <w:r>
        <w:rPr>
          <w:spacing w:val="-12"/>
        </w:rPr>
        <w:t> </w:t>
      </w:r>
      <w:r>
        <w:rPr/>
        <w:t>hanya diberi harga Rp. 60.000/hari. Akibatnya, tidak ada SDM lokal yang ingin terlibat dalam berbagai proyek infrsstruktur, sehingga terjadi impor besar-besaran SDM tukang dari Pulau Jawa. Alokasi anggaran sertifikasi tukang hanya diberikan Rp. 50.000/hari,</w:t>
      </w:r>
      <w:r>
        <w:rPr>
          <w:spacing w:val="-1"/>
        </w:rPr>
        <w:t> </w:t>
      </w:r>
      <w:r>
        <w:rPr/>
        <w:t>sehingga</w:t>
      </w:r>
      <w:r>
        <w:rPr>
          <w:spacing w:val="-3"/>
        </w:rPr>
        <w:t> </w:t>
      </w:r>
      <w:r>
        <w:rPr/>
        <w:t>membuat</w:t>
      </w:r>
      <w:r>
        <w:rPr>
          <w:spacing w:val="-1"/>
        </w:rPr>
        <w:t> </w:t>
      </w:r>
      <w:r>
        <w:rPr/>
        <w:t>keengganan para</w:t>
      </w:r>
      <w:r>
        <w:rPr>
          <w:spacing w:val="-3"/>
        </w:rPr>
        <w:t> </w:t>
      </w:r>
      <w:r>
        <w:rPr/>
        <w:t>SDM</w:t>
      </w:r>
      <w:r>
        <w:rPr>
          <w:spacing w:val="-1"/>
        </w:rPr>
        <w:t> </w:t>
      </w:r>
      <w:r>
        <w:rPr/>
        <w:t>tukang di Desa Tani Bhakti untuk mengikuti sertifikasi bagi mereka yang mau ikut bekerja di proyek-proyek infrastruktur.</w:t>
      </w:r>
    </w:p>
    <w:p>
      <w:pPr>
        <w:pStyle w:val="BodyText"/>
        <w:spacing w:before="162"/>
        <w:jc w:val="left"/>
      </w:pPr>
    </w:p>
    <w:p>
      <w:pPr>
        <w:pStyle w:val="BodyText"/>
        <w:spacing w:line="360" w:lineRule="auto"/>
        <w:ind w:left="1843" w:right="699"/>
      </w:pPr>
      <w:r>
        <w:rPr/>
        <w:t>Perlu diantisipasi dan dipikirkan, kebijakan delineasi yang membawa</w:t>
      </w:r>
      <w:r>
        <w:rPr>
          <w:spacing w:val="-14"/>
        </w:rPr>
        <w:t> </w:t>
      </w:r>
      <w:r>
        <w:rPr/>
        <w:t>dampak</w:t>
      </w:r>
      <w:r>
        <w:rPr>
          <w:spacing w:val="-12"/>
        </w:rPr>
        <w:t> </w:t>
      </w:r>
      <w:r>
        <w:rPr/>
        <w:t>hilangnya</w:t>
      </w:r>
      <w:r>
        <w:rPr>
          <w:spacing w:val="-14"/>
        </w:rPr>
        <w:t> </w:t>
      </w:r>
      <w:r>
        <w:rPr/>
        <w:t>aset</w:t>
      </w:r>
      <w:r>
        <w:rPr>
          <w:spacing w:val="-12"/>
        </w:rPr>
        <w:t> </w:t>
      </w:r>
      <w:r>
        <w:rPr/>
        <w:t>SDA</w:t>
      </w:r>
      <w:r>
        <w:rPr>
          <w:spacing w:val="-14"/>
        </w:rPr>
        <w:t> </w:t>
      </w:r>
      <w:r>
        <w:rPr/>
        <w:t>Kabupaten</w:t>
      </w:r>
      <w:r>
        <w:rPr>
          <w:spacing w:val="-13"/>
        </w:rPr>
        <w:t> </w:t>
      </w:r>
      <w:r>
        <w:rPr/>
        <w:t>Kukar</w:t>
      </w:r>
      <w:r>
        <w:rPr>
          <w:spacing w:val="-14"/>
        </w:rPr>
        <w:t> </w:t>
      </w:r>
      <w:r>
        <w:rPr/>
        <w:t>secara logis</w:t>
      </w:r>
      <w:r>
        <w:rPr>
          <w:spacing w:val="-11"/>
        </w:rPr>
        <w:t> </w:t>
      </w:r>
      <w:r>
        <w:rPr/>
        <w:t>juga</w:t>
      </w:r>
      <w:r>
        <w:rPr>
          <w:spacing w:val="-11"/>
        </w:rPr>
        <w:t> </w:t>
      </w:r>
      <w:r>
        <w:rPr/>
        <w:t>berimplikasi</w:t>
      </w:r>
      <w:r>
        <w:rPr>
          <w:spacing w:val="-9"/>
        </w:rPr>
        <w:t> </w:t>
      </w:r>
      <w:r>
        <w:rPr/>
        <w:t>terhadap</w:t>
      </w:r>
      <w:r>
        <w:rPr>
          <w:spacing w:val="-11"/>
        </w:rPr>
        <w:t> </w:t>
      </w:r>
      <w:r>
        <w:rPr/>
        <w:t>kedudukan</w:t>
      </w:r>
      <w:r>
        <w:rPr>
          <w:spacing w:val="-10"/>
        </w:rPr>
        <w:t> </w:t>
      </w:r>
      <w:r>
        <w:rPr/>
        <w:t>para</w:t>
      </w:r>
      <w:r>
        <w:rPr>
          <w:spacing w:val="-12"/>
        </w:rPr>
        <w:t> </w:t>
      </w:r>
      <w:r>
        <w:rPr/>
        <w:t>pekerja</w:t>
      </w:r>
      <w:r>
        <w:rPr>
          <w:spacing w:val="-12"/>
        </w:rPr>
        <w:t> </w:t>
      </w:r>
      <w:r>
        <w:rPr/>
        <w:t>warga lokal di perusahaan migas dan tambang. Mereka yang semula berasal</w:t>
      </w:r>
      <w:r>
        <w:rPr>
          <w:spacing w:val="40"/>
        </w:rPr>
        <w:t> </w:t>
      </w:r>
      <w:r>
        <w:rPr/>
        <w:t>dari</w:t>
      </w:r>
      <w:r>
        <w:rPr>
          <w:spacing w:val="40"/>
        </w:rPr>
        <w:t> </w:t>
      </w:r>
      <w:r>
        <w:rPr/>
        <w:t>warga</w:t>
      </w:r>
      <w:r>
        <w:rPr>
          <w:spacing w:val="40"/>
        </w:rPr>
        <w:t> </w:t>
      </w:r>
      <w:r>
        <w:rPr/>
        <w:t>Kabupaten</w:t>
      </w:r>
      <w:r>
        <w:rPr>
          <w:spacing w:val="40"/>
        </w:rPr>
        <w:t> </w:t>
      </w:r>
      <w:r>
        <w:rPr/>
        <w:t>Kukar,</w:t>
      </w:r>
      <w:r>
        <w:rPr>
          <w:spacing w:val="40"/>
        </w:rPr>
        <w:t> </w:t>
      </w:r>
      <w:r>
        <w:rPr/>
        <w:t>pasca-delieneasi,</w:t>
      </w:r>
      <w:r>
        <w:rPr>
          <w:spacing w:val="40"/>
        </w:rPr>
        <w:t> </w:t>
      </w:r>
      <w:r>
        <w:rPr/>
        <w:t>perlu</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99"/>
      </w:pPr>
      <w:r>
        <w:rPr/>
        <w:t>dipikirkan status kependudukan mereka, apakah tetap sebagai warga lokal dari kabupaten asal, atau sudah harus bergabung dengan</w:t>
      </w:r>
      <w:r>
        <w:rPr>
          <w:spacing w:val="-12"/>
        </w:rPr>
        <w:t> </w:t>
      </w:r>
      <w:r>
        <w:rPr/>
        <w:t>IKN</w:t>
      </w:r>
      <w:r>
        <w:rPr>
          <w:spacing w:val="-14"/>
        </w:rPr>
        <w:t> </w:t>
      </w:r>
      <w:r>
        <w:rPr/>
        <w:t>sebagai</w:t>
      </w:r>
      <w:r>
        <w:rPr>
          <w:spacing w:val="-12"/>
        </w:rPr>
        <w:t> </w:t>
      </w:r>
      <w:r>
        <w:rPr/>
        <w:t>warga</w:t>
      </w:r>
      <w:r>
        <w:rPr>
          <w:spacing w:val="-14"/>
        </w:rPr>
        <w:t> </w:t>
      </w:r>
      <w:r>
        <w:rPr/>
        <w:t>baru.</w:t>
      </w:r>
      <w:r>
        <w:rPr>
          <w:spacing w:val="-10"/>
        </w:rPr>
        <w:t> </w:t>
      </w:r>
      <w:r>
        <w:rPr/>
        <w:t>Untuk</w:t>
      </w:r>
      <w:r>
        <w:rPr>
          <w:spacing w:val="-11"/>
        </w:rPr>
        <w:t> </w:t>
      </w:r>
      <w:r>
        <w:rPr/>
        <w:t>siap</w:t>
      </w:r>
      <w:r>
        <w:rPr>
          <w:spacing w:val="-13"/>
        </w:rPr>
        <w:t> </w:t>
      </w:r>
      <w:r>
        <w:rPr/>
        <w:t>bergabung</w:t>
      </w:r>
      <w:r>
        <w:rPr>
          <w:spacing w:val="-13"/>
        </w:rPr>
        <w:t> </w:t>
      </w:r>
      <w:r>
        <w:rPr/>
        <w:t>dengan warga pendatang, calon penghuni baru IKN. Akan beralihnya pengelolaan dan ‘kepemilikan’ SDA, demi perspektif keadilan, seharusnya dapat diimbangi dengan solusi pemberian kesempatan kerja lebih luas warga lokal Daerah Mitra, khususnya Kabupaten Kutai Kartanegara, yang paling sedikit 2 (dua) kecamatannya yang kaya migas dan tambang diambil, di berbagai proyek pekerjaan SDA yang tersedia, tidak hanya poyek infrastruktur IKN.</w:t>
      </w:r>
    </w:p>
    <w:p>
      <w:pPr>
        <w:pStyle w:val="BodyText"/>
        <w:spacing w:before="165"/>
        <w:jc w:val="left"/>
      </w:pPr>
    </w:p>
    <w:p>
      <w:pPr>
        <w:pStyle w:val="BodyText"/>
        <w:spacing w:line="360" w:lineRule="auto" w:before="1"/>
        <w:ind w:left="1843" w:right="704"/>
      </w:pPr>
      <w:r>
        <w:rPr/>
        <w:t>Menurut informasi dari Camat Samboja dan Muara Jawa (Wawancara 26 Oktober 2023), masyarakat mereka hidup dari sektor</w:t>
      </w:r>
      <w:r>
        <w:rPr>
          <w:spacing w:val="-17"/>
        </w:rPr>
        <w:t> </w:t>
      </w:r>
      <w:r>
        <w:rPr/>
        <w:t>minyak,</w:t>
      </w:r>
      <w:r>
        <w:rPr>
          <w:spacing w:val="-16"/>
        </w:rPr>
        <w:t> </w:t>
      </w:r>
      <w:r>
        <w:rPr/>
        <w:t>gas,</w:t>
      </w:r>
      <w:r>
        <w:rPr>
          <w:spacing w:val="-17"/>
        </w:rPr>
        <w:t> </w:t>
      </w:r>
      <w:r>
        <w:rPr/>
        <w:t>batu</w:t>
      </w:r>
      <w:r>
        <w:rPr>
          <w:spacing w:val="-16"/>
        </w:rPr>
        <w:t> </w:t>
      </w:r>
      <w:r>
        <w:rPr/>
        <w:t>bara,</w:t>
      </w:r>
      <w:r>
        <w:rPr>
          <w:spacing w:val="-17"/>
        </w:rPr>
        <w:t> </w:t>
      </w:r>
      <w:r>
        <w:rPr/>
        <w:t>perikanan,</w:t>
      </w:r>
      <w:r>
        <w:rPr>
          <w:spacing w:val="-16"/>
        </w:rPr>
        <w:t> </w:t>
      </w:r>
      <w:r>
        <w:rPr/>
        <w:t>pertanian,perkebunan, hutan, Pelabuhan, dan pariwisata. Bahkan, di DesaLoa Duri Ilir terdapat perkebunan lada yang besar, yang merupakan komoditas</w:t>
      </w:r>
      <w:r>
        <w:rPr>
          <w:spacing w:val="-12"/>
        </w:rPr>
        <w:t> </w:t>
      </w:r>
      <w:r>
        <w:rPr/>
        <w:t>ekspor.</w:t>
      </w:r>
      <w:r>
        <w:rPr>
          <w:spacing w:val="-15"/>
        </w:rPr>
        <w:t> </w:t>
      </w:r>
      <w:r>
        <w:rPr/>
        <w:t>Dengan</w:t>
      </w:r>
      <w:r>
        <w:rPr>
          <w:spacing w:val="-16"/>
        </w:rPr>
        <w:t> </w:t>
      </w:r>
      <w:r>
        <w:rPr/>
        <w:t>masuknya</w:t>
      </w:r>
      <w:r>
        <w:rPr>
          <w:spacing w:val="-17"/>
        </w:rPr>
        <w:t> </w:t>
      </w:r>
      <w:r>
        <w:rPr/>
        <w:t>wilayah</w:t>
      </w:r>
      <w:r>
        <w:rPr>
          <w:spacing w:val="-16"/>
        </w:rPr>
        <w:t> </w:t>
      </w:r>
      <w:r>
        <w:rPr/>
        <w:t>ini</w:t>
      </w:r>
      <w:r>
        <w:rPr>
          <w:spacing w:val="-16"/>
        </w:rPr>
        <w:t> </w:t>
      </w:r>
      <w:r>
        <w:rPr/>
        <w:t>kewilayah</w:t>
      </w:r>
      <w:r>
        <w:rPr>
          <w:spacing w:val="-8"/>
        </w:rPr>
        <w:t> </w:t>
      </w:r>
      <w:r>
        <w:rPr/>
        <w:t>IKN, berarti potensi ekonomi dari lada menjadi berkurang.</w:t>
      </w:r>
    </w:p>
    <w:p>
      <w:pPr>
        <w:pStyle w:val="BodyText"/>
        <w:spacing w:after="0" w:line="360" w:lineRule="auto"/>
        <w:sectPr>
          <w:pgSz w:w="11910" w:h="16840"/>
          <w:pgMar w:header="0" w:footer="1186" w:top="1580" w:bottom="1380" w:left="1700" w:right="992"/>
        </w:sectPr>
      </w:pPr>
    </w:p>
    <w:p>
      <w:pPr>
        <w:spacing w:line="235" w:lineRule="auto" w:before="60"/>
        <w:ind w:left="3841" w:right="0" w:hanging="3078"/>
        <w:jc w:val="left"/>
        <w:rPr>
          <w:rFonts w:ascii="Lucida Sans Unicode"/>
          <w:sz w:val="22"/>
        </w:rPr>
      </w:pPr>
      <w:bookmarkStart w:name="_bookmark55" w:id="56"/>
      <w:bookmarkEnd w:id="56"/>
      <w:r>
        <w:rPr/>
      </w:r>
      <w:r>
        <w:rPr>
          <w:rFonts w:ascii="Tahoma"/>
          <w:b/>
          <w:w w:val="105"/>
          <w:sz w:val="22"/>
        </w:rPr>
        <w:t>Tabel</w:t>
      </w:r>
      <w:r>
        <w:rPr>
          <w:rFonts w:ascii="Tahoma"/>
          <w:b/>
          <w:spacing w:val="-17"/>
          <w:w w:val="105"/>
          <w:sz w:val="22"/>
        </w:rPr>
        <w:t> </w:t>
      </w:r>
      <w:r>
        <w:rPr>
          <w:rFonts w:ascii="Tahoma"/>
          <w:b/>
          <w:w w:val="105"/>
          <w:sz w:val="22"/>
        </w:rPr>
        <w:t>12.</w:t>
      </w:r>
      <w:r>
        <w:rPr>
          <w:rFonts w:ascii="Tahoma"/>
          <w:b/>
          <w:spacing w:val="-17"/>
          <w:w w:val="105"/>
          <w:sz w:val="22"/>
        </w:rPr>
        <w:t> </w:t>
      </w:r>
      <w:r>
        <w:rPr>
          <w:rFonts w:ascii="Lucida Sans Unicode"/>
          <w:w w:val="105"/>
          <w:sz w:val="22"/>
        </w:rPr>
        <w:t>Data</w:t>
      </w:r>
      <w:r>
        <w:rPr>
          <w:rFonts w:ascii="Lucida Sans Unicode"/>
          <w:spacing w:val="-19"/>
          <w:w w:val="105"/>
          <w:sz w:val="22"/>
        </w:rPr>
        <w:t> </w:t>
      </w:r>
      <w:r>
        <w:rPr>
          <w:rFonts w:ascii="Lucida Sans Unicode"/>
          <w:w w:val="105"/>
          <w:sz w:val="22"/>
        </w:rPr>
        <w:t>Tenaga</w:t>
      </w:r>
      <w:r>
        <w:rPr>
          <w:rFonts w:ascii="Lucida Sans Unicode"/>
          <w:spacing w:val="-18"/>
          <w:w w:val="105"/>
          <w:sz w:val="22"/>
        </w:rPr>
        <w:t> </w:t>
      </w:r>
      <w:r>
        <w:rPr>
          <w:rFonts w:ascii="Lucida Sans Unicode"/>
          <w:w w:val="105"/>
          <w:sz w:val="22"/>
        </w:rPr>
        <w:t>Kerja</w:t>
      </w:r>
      <w:r>
        <w:rPr>
          <w:rFonts w:ascii="Lucida Sans Unicode"/>
          <w:spacing w:val="-18"/>
          <w:w w:val="105"/>
          <w:sz w:val="22"/>
        </w:rPr>
        <w:t> </w:t>
      </w:r>
      <w:r>
        <w:rPr>
          <w:rFonts w:ascii="Lucida Sans Unicode"/>
          <w:w w:val="105"/>
          <w:sz w:val="22"/>
        </w:rPr>
        <w:t>Perusahaan</w:t>
      </w:r>
      <w:r>
        <w:rPr>
          <w:rFonts w:ascii="Lucida Sans Unicode"/>
          <w:spacing w:val="-18"/>
          <w:w w:val="105"/>
          <w:sz w:val="22"/>
        </w:rPr>
        <w:t> </w:t>
      </w:r>
      <w:r>
        <w:rPr>
          <w:rFonts w:ascii="Lucida Sans Unicode"/>
          <w:w w:val="105"/>
          <w:sz w:val="22"/>
        </w:rPr>
        <w:t>Tambang</w:t>
      </w:r>
      <w:r>
        <w:rPr>
          <w:rFonts w:ascii="Lucida Sans Unicode"/>
          <w:spacing w:val="-19"/>
          <w:w w:val="105"/>
          <w:sz w:val="22"/>
        </w:rPr>
        <w:t> </w:t>
      </w:r>
      <w:r>
        <w:rPr>
          <w:rFonts w:ascii="Lucida Sans Unicode"/>
          <w:w w:val="105"/>
          <w:sz w:val="22"/>
        </w:rPr>
        <w:t>Batubara</w:t>
      </w:r>
      <w:r>
        <w:rPr>
          <w:rFonts w:ascii="Lucida Sans Unicode"/>
          <w:spacing w:val="-18"/>
          <w:w w:val="105"/>
          <w:sz w:val="22"/>
        </w:rPr>
        <w:t> </w:t>
      </w:r>
      <w:r>
        <w:rPr>
          <w:rFonts w:ascii="Lucida Sans Unicode"/>
          <w:w w:val="105"/>
          <w:sz w:val="22"/>
        </w:rPr>
        <w:t>di</w:t>
      </w:r>
      <w:r>
        <w:rPr>
          <w:rFonts w:ascii="Lucida Sans Unicode"/>
          <w:spacing w:val="-18"/>
          <w:w w:val="105"/>
          <w:sz w:val="22"/>
        </w:rPr>
        <w:t> </w:t>
      </w:r>
      <w:r>
        <w:rPr>
          <w:rFonts w:ascii="Lucida Sans Unicode"/>
          <w:w w:val="105"/>
          <w:sz w:val="22"/>
        </w:rPr>
        <w:t>Kutai </w:t>
      </w:r>
      <w:r>
        <w:rPr>
          <w:rFonts w:ascii="Lucida Sans Unicode"/>
          <w:spacing w:val="-2"/>
          <w:w w:val="105"/>
          <w:sz w:val="22"/>
        </w:rPr>
        <w:t>Kartanegara</w:t>
      </w:r>
    </w:p>
    <w:p>
      <w:pPr>
        <w:pStyle w:val="BodyText"/>
        <w:spacing w:before="3"/>
        <w:jc w:val="left"/>
        <w:rPr>
          <w:rFonts w:ascii="Lucida Sans Unicode"/>
          <w:sz w:val="10"/>
        </w:rPr>
      </w:pPr>
      <w:r>
        <w:rPr>
          <w:rFonts w:ascii="Lucida Sans Unicode"/>
          <w:sz w:val="10"/>
        </w:rPr>
        <w:drawing>
          <wp:anchor distT="0" distB="0" distL="0" distR="0" allowOverlap="1" layoutInCell="1" locked="0" behindDoc="1" simplePos="0" relativeHeight="487590400">
            <wp:simplePos x="0" y="0"/>
            <wp:positionH relativeFrom="page">
              <wp:posOffset>1440180</wp:posOffset>
            </wp:positionH>
            <wp:positionV relativeFrom="paragraph">
              <wp:posOffset>115067</wp:posOffset>
            </wp:positionV>
            <wp:extent cx="5438192" cy="392430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4" cstate="print"/>
                    <a:stretch>
                      <a:fillRect/>
                    </a:stretch>
                  </pic:blipFill>
                  <pic:spPr>
                    <a:xfrm>
                      <a:off x="0" y="0"/>
                      <a:ext cx="5438192" cy="3924300"/>
                    </a:xfrm>
                    <a:prstGeom prst="rect">
                      <a:avLst/>
                    </a:prstGeom>
                  </pic:spPr>
                </pic:pic>
              </a:graphicData>
            </a:graphic>
          </wp:anchor>
        </w:drawing>
      </w:r>
    </w:p>
    <w:p>
      <w:pPr>
        <w:pStyle w:val="BodyText"/>
        <w:spacing w:before="189"/>
        <w:ind w:left="2127"/>
        <w:jc w:val="left"/>
      </w:pPr>
      <w:r>
        <w:rPr/>
        <w:t>Sumber:</w:t>
      </w:r>
      <w:r>
        <w:rPr>
          <w:spacing w:val="-6"/>
        </w:rPr>
        <w:t> </w:t>
      </w:r>
      <w:r>
        <w:rPr/>
        <w:t>Direktorat</w:t>
      </w:r>
      <w:r>
        <w:rPr>
          <w:spacing w:val="-7"/>
        </w:rPr>
        <w:t> </w:t>
      </w:r>
      <w:r>
        <w:rPr/>
        <w:t>Minerba,</w:t>
      </w:r>
      <w:r>
        <w:rPr>
          <w:spacing w:val="-6"/>
        </w:rPr>
        <w:t> </w:t>
      </w:r>
      <w:r>
        <w:rPr/>
        <w:t>Kementerian</w:t>
      </w:r>
      <w:r>
        <w:rPr>
          <w:spacing w:val="-8"/>
        </w:rPr>
        <w:t> </w:t>
      </w:r>
      <w:r>
        <w:rPr/>
        <w:t>ESDM,</w:t>
      </w:r>
      <w:r>
        <w:rPr>
          <w:spacing w:val="-5"/>
        </w:rPr>
        <w:t> </w:t>
      </w:r>
      <w:r>
        <w:rPr>
          <w:spacing w:val="-2"/>
        </w:rPr>
        <w:t>2023.</w:t>
      </w:r>
    </w:p>
    <w:p>
      <w:pPr>
        <w:pStyle w:val="BodyText"/>
        <w:jc w:val="left"/>
      </w:pPr>
    </w:p>
    <w:p>
      <w:pPr>
        <w:pStyle w:val="BodyText"/>
        <w:spacing w:before="2"/>
        <w:jc w:val="left"/>
      </w:pPr>
    </w:p>
    <w:p>
      <w:pPr>
        <w:pStyle w:val="BodyText"/>
        <w:spacing w:line="360" w:lineRule="auto" w:before="1"/>
        <w:ind w:left="1843" w:right="699"/>
      </w:pPr>
      <w:r>
        <w:rPr/>
        <w:t>Warga lokal, termasuk asal daerah Mitra, harus diberikan peluang/kesempatan kerja lebih luas di berbagai kantor manajemen perusahaan migas dan tambang, yang sebenarnya merupakan</w:t>
      </w:r>
      <w:r>
        <w:rPr>
          <w:spacing w:val="-14"/>
        </w:rPr>
        <w:t> </w:t>
      </w:r>
      <w:r>
        <w:rPr/>
        <w:t>perusahaan</w:t>
      </w:r>
      <w:r>
        <w:rPr>
          <w:spacing w:val="-13"/>
        </w:rPr>
        <w:t> </w:t>
      </w:r>
      <w:r>
        <w:rPr/>
        <w:t>multinasional</w:t>
      </w:r>
      <w:r>
        <w:rPr>
          <w:spacing w:val="-13"/>
        </w:rPr>
        <w:t> </w:t>
      </w:r>
      <w:r>
        <w:rPr/>
        <w:t>dengan</w:t>
      </w:r>
      <w:r>
        <w:rPr>
          <w:spacing w:val="-9"/>
        </w:rPr>
        <w:t> </w:t>
      </w:r>
      <w:r>
        <w:rPr/>
        <w:t>aktivitas</w:t>
      </w:r>
      <w:r>
        <w:rPr>
          <w:spacing w:val="-14"/>
        </w:rPr>
        <w:t> </w:t>
      </w:r>
      <w:r>
        <w:rPr/>
        <w:t>berskala global. Terbatasnya kemampuan mereka tidak boleh dijadikan alasan untuk terus mempertahankan rendahnya daya serap berbagai perusahaan yang ada terhadap SDM lokal. Sebab, penyediaan berbagai program pendidikan dan pelatihan, serta pengembangan kapasitas SDM, dapat membantu untuk meningkatkan</w:t>
      </w:r>
      <w:r>
        <w:rPr>
          <w:spacing w:val="-14"/>
        </w:rPr>
        <w:t> </w:t>
      </w:r>
      <w:r>
        <w:rPr/>
        <w:t>keahlian</w:t>
      </w:r>
      <w:r>
        <w:rPr>
          <w:spacing w:val="-14"/>
        </w:rPr>
        <w:t> </w:t>
      </w:r>
      <w:r>
        <w:rPr/>
        <w:t>dan</w:t>
      </w:r>
      <w:r>
        <w:rPr>
          <w:spacing w:val="-11"/>
        </w:rPr>
        <w:t> </w:t>
      </w:r>
      <w:r>
        <w:rPr/>
        <w:t>kualitas</w:t>
      </w:r>
      <w:r>
        <w:rPr>
          <w:spacing w:val="-14"/>
        </w:rPr>
        <w:t> </w:t>
      </w:r>
      <w:r>
        <w:rPr/>
        <w:t>kerja</w:t>
      </w:r>
      <w:r>
        <w:rPr>
          <w:spacing w:val="-16"/>
        </w:rPr>
        <w:t> </w:t>
      </w:r>
      <w:r>
        <w:rPr/>
        <w:t>mereka,</w:t>
      </w:r>
      <w:r>
        <w:rPr>
          <w:spacing w:val="-12"/>
        </w:rPr>
        <w:t> </w:t>
      </w:r>
      <w:r>
        <w:rPr/>
        <w:t>sebagaimana dibutuhkan perusahaan setempat. Jadi, jangan ada lagi</w:t>
      </w:r>
    </w:p>
    <w:p>
      <w:pPr>
        <w:pStyle w:val="BodyText"/>
        <w:spacing w:after="0" w:line="360" w:lineRule="auto"/>
        <w:sectPr>
          <w:pgSz w:w="11910" w:h="16840"/>
          <w:pgMar w:header="0" w:footer="1186" w:top="1620" w:bottom="1380" w:left="1700" w:right="992"/>
        </w:sectPr>
      </w:pPr>
    </w:p>
    <w:p>
      <w:pPr>
        <w:pStyle w:val="BodyText"/>
        <w:spacing w:line="360" w:lineRule="auto" w:before="82"/>
        <w:ind w:left="1843" w:right="704"/>
      </w:pPr>
      <w:r>
        <w:rPr/>
        <w:t>pandangan atau penilaian sebagai sesuatu yang mustahil, upaya mendongkrak kapasitas SDM lokal. Alih teknologi juga harus berdampak terhadap mereka sebagai SDM lokal dan Daerah Mitra, sebagai pemilik aset semula. Tabel 8 memperlihatkan temuan yang mengungkapkan masih rendah dan</w:t>
      </w:r>
      <w:r>
        <w:rPr>
          <w:spacing w:val="-2"/>
        </w:rPr>
        <w:t> </w:t>
      </w:r>
      <w:r>
        <w:rPr/>
        <w:t>menyedihkannya</w:t>
      </w:r>
      <w:r>
        <w:rPr>
          <w:spacing w:val="-3"/>
        </w:rPr>
        <w:t> </w:t>
      </w:r>
      <w:r>
        <w:rPr/>
        <w:t>daya</w:t>
      </w:r>
      <w:r>
        <w:rPr>
          <w:spacing w:val="-3"/>
        </w:rPr>
        <w:t> </w:t>
      </w:r>
      <w:r>
        <w:rPr/>
        <w:t>serap</w:t>
      </w:r>
      <w:r>
        <w:rPr>
          <w:spacing w:val="-2"/>
        </w:rPr>
        <w:t> </w:t>
      </w:r>
      <w:r>
        <w:rPr/>
        <w:t>tenaga</w:t>
      </w:r>
      <w:r>
        <w:rPr>
          <w:spacing w:val="-3"/>
        </w:rPr>
        <w:t> </w:t>
      </w:r>
      <w:r>
        <w:rPr/>
        <w:t>kerja (SDM)</w:t>
      </w:r>
      <w:r>
        <w:rPr>
          <w:spacing w:val="-5"/>
        </w:rPr>
        <w:t> </w:t>
      </w:r>
      <w:r>
        <w:rPr/>
        <w:t>lokal</w:t>
      </w:r>
      <w:r>
        <w:rPr>
          <w:spacing w:val="-2"/>
        </w:rPr>
        <w:t> </w:t>
      </w:r>
      <w:r>
        <w:rPr/>
        <w:t>oleh berbagai perusahaan migas dan tambang, bahkan yang berjejaring global.</w:t>
      </w:r>
    </w:p>
    <w:p>
      <w:pPr>
        <w:pStyle w:val="BodyText"/>
        <w:spacing w:before="162"/>
        <w:jc w:val="left"/>
      </w:pPr>
    </w:p>
    <w:p>
      <w:pPr>
        <w:pStyle w:val="BodyText"/>
        <w:spacing w:line="360" w:lineRule="auto"/>
        <w:ind w:left="1843" w:right="699"/>
      </w:pPr>
      <w:r>
        <w:rPr/>
        <w:t>Persoalan lain di bidang ekonomi yakni terkait penggunaan anggaran. Sosialisasi terhadap masyarakat yang menempati wilayah IKN terkait hubungannya dengan pemerintah OIKN sangat penting. Sebab, jika warga masyarakat yang masuk ke wilayah Otorita IKN tidak boleh lagi dibiayai pelayanan publiknya oleh APBD Kabupaten Kutai kartanegara, maka jika mereka tidak tahu mengenai keberadaan OIKN, mereka akan tetap</w:t>
      </w:r>
      <w:r>
        <w:rPr>
          <w:spacing w:val="-17"/>
        </w:rPr>
        <w:t> </w:t>
      </w:r>
      <w:r>
        <w:rPr/>
        <w:t>meminta</w:t>
      </w:r>
      <w:r>
        <w:rPr>
          <w:spacing w:val="-16"/>
        </w:rPr>
        <w:t> </w:t>
      </w:r>
      <w:r>
        <w:rPr/>
        <w:t>pelayanan</w:t>
      </w:r>
      <w:r>
        <w:rPr>
          <w:spacing w:val="-17"/>
        </w:rPr>
        <w:t> </w:t>
      </w:r>
      <w:r>
        <w:rPr/>
        <w:t>publik</w:t>
      </w:r>
      <w:r>
        <w:rPr>
          <w:spacing w:val="-16"/>
        </w:rPr>
        <w:t> </w:t>
      </w:r>
      <w:r>
        <w:rPr/>
        <w:t>kepada</w:t>
      </w:r>
      <w:r>
        <w:rPr>
          <w:spacing w:val="-17"/>
        </w:rPr>
        <w:t> </w:t>
      </w:r>
      <w:r>
        <w:rPr/>
        <w:t>Pemerintah</w:t>
      </w:r>
      <w:r>
        <w:rPr>
          <w:spacing w:val="-16"/>
        </w:rPr>
        <w:t> </w:t>
      </w:r>
      <w:r>
        <w:rPr/>
        <w:t>Kabupaten Kutai Kartanegara. Hal ini dikhawatirkan dapat mengakibatkan duplikasi penganggaran. Tanggungjawab masalah politik, ekonomi, pelayanan administratif, pelayanan publik harus segera</w:t>
      </w:r>
      <w:r>
        <w:rPr>
          <w:spacing w:val="-13"/>
        </w:rPr>
        <w:t> </w:t>
      </w:r>
      <w:r>
        <w:rPr/>
        <w:t>diperjelas</w:t>
      </w:r>
      <w:r>
        <w:rPr>
          <w:spacing w:val="-11"/>
        </w:rPr>
        <w:t> </w:t>
      </w:r>
      <w:r>
        <w:rPr/>
        <w:t>menjadi</w:t>
      </w:r>
      <w:r>
        <w:rPr>
          <w:spacing w:val="-11"/>
        </w:rPr>
        <w:t> </w:t>
      </w:r>
      <w:r>
        <w:rPr/>
        <w:t>tanggung</w:t>
      </w:r>
      <w:r>
        <w:rPr>
          <w:spacing w:val="-12"/>
        </w:rPr>
        <w:t> </w:t>
      </w:r>
      <w:r>
        <w:rPr/>
        <w:t>jawab</w:t>
      </w:r>
      <w:r>
        <w:rPr>
          <w:spacing w:val="-13"/>
        </w:rPr>
        <w:t> </w:t>
      </w:r>
      <w:r>
        <w:rPr/>
        <w:t>siapa,</w:t>
      </w:r>
      <w:r>
        <w:rPr>
          <w:spacing w:val="-9"/>
        </w:rPr>
        <w:t> </w:t>
      </w:r>
      <w:r>
        <w:rPr/>
        <w:t>karena</w:t>
      </w:r>
      <w:r>
        <w:rPr>
          <w:spacing w:val="-12"/>
        </w:rPr>
        <w:t> </w:t>
      </w:r>
      <w:r>
        <w:rPr/>
        <w:t>hingga saat ini belum ada gambaran terkait hal ini.</w:t>
      </w:r>
    </w:p>
    <w:p>
      <w:pPr>
        <w:pStyle w:val="BodyText"/>
        <w:jc w:val="left"/>
      </w:pPr>
    </w:p>
    <w:p>
      <w:pPr>
        <w:pStyle w:val="BodyText"/>
        <w:jc w:val="left"/>
      </w:pPr>
    </w:p>
    <w:p>
      <w:pPr>
        <w:pStyle w:val="BodyText"/>
        <w:jc w:val="left"/>
      </w:pPr>
    </w:p>
    <w:p>
      <w:pPr>
        <w:pStyle w:val="Heading2"/>
        <w:numPr>
          <w:ilvl w:val="0"/>
          <w:numId w:val="33"/>
        </w:numPr>
        <w:tabs>
          <w:tab w:pos="1842" w:val="left" w:leader="none"/>
        </w:tabs>
        <w:spacing w:line="240" w:lineRule="auto" w:before="0" w:after="0"/>
        <w:ind w:left="1842" w:right="0" w:hanging="566"/>
        <w:jc w:val="both"/>
      </w:pPr>
      <w:r>
        <w:rPr/>
        <w:t>Dampak</w:t>
      </w:r>
      <w:r>
        <w:rPr>
          <w:spacing w:val="-6"/>
        </w:rPr>
        <w:t> </w:t>
      </w:r>
      <w:r>
        <w:rPr/>
        <w:t>Negatif:</w:t>
      </w:r>
      <w:r>
        <w:rPr>
          <w:spacing w:val="-5"/>
        </w:rPr>
        <w:t> </w:t>
      </w:r>
      <w:r>
        <w:rPr>
          <w:spacing w:val="-2"/>
        </w:rPr>
        <w:t>Tanah</w:t>
      </w:r>
    </w:p>
    <w:p>
      <w:pPr>
        <w:pStyle w:val="BodyText"/>
        <w:spacing w:line="360" w:lineRule="auto" w:before="161"/>
        <w:ind w:left="1843" w:right="705"/>
      </w:pPr>
      <w:r>
        <w:rPr/>
        <w:t>Salah satu dampak ekonomi dipengaruhi oleh harga tanah. Menurut Kepala Desa Jonggon, hadirnya IKN telah menimbulkan</w:t>
      </w:r>
      <w:r>
        <w:rPr>
          <w:spacing w:val="36"/>
        </w:rPr>
        <w:t> </w:t>
      </w:r>
      <w:r>
        <w:rPr/>
        <w:t>persoalan</w:t>
      </w:r>
      <w:r>
        <w:rPr>
          <w:spacing w:val="36"/>
        </w:rPr>
        <w:t> </w:t>
      </w:r>
      <w:r>
        <w:rPr/>
        <w:t>terkait</w:t>
      </w:r>
      <w:r>
        <w:rPr>
          <w:spacing w:val="37"/>
        </w:rPr>
        <w:t> </w:t>
      </w:r>
      <w:r>
        <w:rPr/>
        <w:t>harga</w:t>
      </w:r>
      <w:r>
        <w:rPr>
          <w:spacing w:val="35"/>
        </w:rPr>
        <w:t> </w:t>
      </w:r>
      <w:r>
        <w:rPr/>
        <w:t>tanah</w:t>
      </w:r>
      <w:r>
        <w:rPr>
          <w:spacing w:val="40"/>
        </w:rPr>
        <w:t> </w:t>
      </w:r>
      <w:r>
        <w:rPr/>
        <w:t>yang</w:t>
      </w:r>
      <w:r>
        <w:rPr>
          <w:spacing w:val="34"/>
        </w:rPr>
        <w:t> </w:t>
      </w:r>
      <w:r>
        <w:rPr/>
        <w:t>mahal</w:t>
      </w:r>
      <w:r>
        <w:rPr>
          <w:spacing w:val="37"/>
        </w:rPr>
        <w:t> </w:t>
      </w:r>
      <w:r>
        <w:rPr/>
        <w:t>dan</w:t>
      </w:r>
    </w:p>
    <w:p>
      <w:pPr>
        <w:pStyle w:val="BodyText"/>
        <w:spacing w:after="0" w:line="360" w:lineRule="auto"/>
        <w:sectPr>
          <w:pgSz w:w="11910" w:h="16840"/>
          <w:pgMar w:header="0" w:footer="1186" w:top="1580" w:bottom="1380" w:left="1700" w:right="992"/>
        </w:sectPr>
      </w:pPr>
    </w:p>
    <w:p>
      <w:pPr>
        <w:pStyle w:val="BodyText"/>
        <w:spacing w:line="360" w:lineRule="auto" w:before="82" w:after="4"/>
        <w:ind w:left="1843" w:right="697"/>
      </w:pPr>
      <w:r>
        <w:rPr/>
        <w:t>melambung, sehingga masyarakat tidak bisa membeli tanah. Sebelum ada proyek IKN harga tanah antara Rp1 juta - Rp10 juta per hektar, namun sekarang sudah mencapai Rp60 juta - Rp100 juta per hektar. Maraknya penjualan tanah telah menyebabkan</w:t>
      </w:r>
      <w:r>
        <w:rPr>
          <w:spacing w:val="-17"/>
        </w:rPr>
        <w:t> </w:t>
      </w:r>
      <w:r>
        <w:rPr/>
        <w:t>harga</w:t>
      </w:r>
      <w:r>
        <w:rPr>
          <w:spacing w:val="-16"/>
        </w:rPr>
        <w:t> </w:t>
      </w:r>
      <w:r>
        <w:rPr/>
        <w:t>tanah</w:t>
      </w:r>
      <w:r>
        <w:rPr>
          <w:spacing w:val="-17"/>
        </w:rPr>
        <w:t> </w:t>
      </w:r>
      <w:r>
        <w:rPr/>
        <w:t>yang</w:t>
      </w:r>
      <w:r>
        <w:rPr>
          <w:spacing w:val="-16"/>
        </w:rPr>
        <w:t> </w:t>
      </w:r>
      <w:r>
        <w:rPr/>
        <w:t>melambung</w:t>
      </w:r>
      <w:r>
        <w:rPr>
          <w:spacing w:val="-17"/>
        </w:rPr>
        <w:t> </w:t>
      </w:r>
      <w:r>
        <w:rPr/>
        <w:t>tinggi.</w:t>
      </w:r>
      <w:r>
        <w:rPr>
          <w:spacing w:val="-16"/>
        </w:rPr>
        <w:t> </w:t>
      </w:r>
      <w:r>
        <w:rPr/>
        <w:t>Papan</w:t>
      </w:r>
      <w:r>
        <w:rPr>
          <w:spacing w:val="-17"/>
        </w:rPr>
        <w:t> </w:t>
      </w:r>
      <w:r>
        <w:rPr/>
        <w:t>iklan penjualan tanah ditemukan di hampir semua tempat yang dilewati peneliti, terutama di sepanjang pantai Samboja dan Samboja Barat (lihat Gambar 8).</w:t>
      </w:r>
    </w:p>
    <w:p>
      <w:pPr>
        <w:pStyle w:val="BodyText"/>
        <w:ind w:left="568"/>
        <w:jc w:val="left"/>
        <w:rPr>
          <w:sz w:val="20"/>
        </w:rPr>
      </w:pPr>
      <w:r>
        <w:rPr>
          <w:sz w:val="20"/>
        </w:rPr>
        <w:drawing>
          <wp:inline distT="0" distB="0" distL="0" distR="0">
            <wp:extent cx="5018012" cy="246697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5" cstate="print"/>
                    <a:stretch>
                      <a:fillRect/>
                    </a:stretch>
                  </pic:blipFill>
                  <pic:spPr>
                    <a:xfrm>
                      <a:off x="0" y="0"/>
                      <a:ext cx="5018012" cy="2466975"/>
                    </a:xfrm>
                    <a:prstGeom prst="rect">
                      <a:avLst/>
                    </a:prstGeom>
                  </pic:spPr>
                </pic:pic>
              </a:graphicData>
            </a:graphic>
          </wp:inline>
        </w:drawing>
      </w:r>
      <w:r>
        <w:rPr>
          <w:sz w:val="20"/>
        </w:rPr>
      </w:r>
    </w:p>
    <w:p>
      <w:pPr>
        <w:spacing w:before="191"/>
        <w:ind w:left="1485" w:right="1628" w:firstLine="0"/>
        <w:jc w:val="center"/>
        <w:rPr>
          <w:rFonts w:ascii="Lucida Sans Unicode"/>
          <w:sz w:val="22"/>
        </w:rPr>
      </w:pPr>
      <w:bookmarkStart w:name="_bookmark56" w:id="57"/>
      <w:bookmarkEnd w:id="57"/>
      <w:r>
        <w:rPr/>
      </w:r>
      <w:r>
        <w:rPr>
          <w:rFonts w:ascii="Tahoma"/>
          <w:b/>
          <w:w w:val="105"/>
          <w:sz w:val="22"/>
        </w:rPr>
        <w:t>Gambar</w:t>
      </w:r>
      <w:r>
        <w:rPr>
          <w:rFonts w:ascii="Tahoma"/>
          <w:b/>
          <w:spacing w:val="-15"/>
          <w:w w:val="105"/>
          <w:sz w:val="22"/>
        </w:rPr>
        <w:t> </w:t>
      </w:r>
      <w:r>
        <w:rPr>
          <w:rFonts w:ascii="Tahoma"/>
          <w:b/>
          <w:w w:val="105"/>
          <w:sz w:val="22"/>
        </w:rPr>
        <w:t>8.</w:t>
      </w:r>
      <w:r>
        <w:rPr>
          <w:rFonts w:ascii="Tahoma"/>
          <w:b/>
          <w:spacing w:val="-8"/>
          <w:w w:val="105"/>
          <w:sz w:val="22"/>
        </w:rPr>
        <w:t> </w:t>
      </w:r>
      <w:r>
        <w:rPr>
          <w:rFonts w:ascii="Lucida Sans Unicode"/>
          <w:w w:val="105"/>
          <w:sz w:val="22"/>
        </w:rPr>
        <w:t>Maraknya</w:t>
      </w:r>
      <w:r>
        <w:rPr>
          <w:rFonts w:ascii="Lucida Sans Unicode"/>
          <w:spacing w:val="-13"/>
          <w:w w:val="105"/>
          <w:sz w:val="22"/>
        </w:rPr>
        <w:t> </w:t>
      </w:r>
      <w:r>
        <w:rPr>
          <w:rFonts w:ascii="Lucida Sans Unicode"/>
          <w:w w:val="105"/>
          <w:sz w:val="22"/>
        </w:rPr>
        <w:t>Penjualan</w:t>
      </w:r>
      <w:r>
        <w:rPr>
          <w:rFonts w:ascii="Lucida Sans Unicode"/>
          <w:spacing w:val="-9"/>
          <w:w w:val="105"/>
          <w:sz w:val="22"/>
        </w:rPr>
        <w:t> </w:t>
      </w:r>
      <w:r>
        <w:rPr>
          <w:rFonts w:ascii="Lucida Sans Unicode"/>
          <w:spacing w:val="-4"/>
          <w:w w:val="105"/>
          <w:sz w:val="22"/>
        </w:rPr>
        <w:t>Tanah</w:t>
      </w:r>
    </w:p>
    <w:p>
      <w:pPr>
        <w:pStyle w:val="BodyText"/>
        <w:spacing w:line="360" w:lineRule="auto" w:before="177"/>
        <w:ind w:left="1843" w:right="704"/>
      </w:pPr>
      <w:r>
        <w:rPr/>
        <w:t>Secara ekonomi, harga tanah yang meningkat dapat berdampak positif menaikkan pajak tanah. Namun, di sisi lain, masyarakat semakin tidak mampu membeli tanah sehingga Pemerintah Daerah harus memikirkan perumahan yang terjangkau bagi masyarakat.</w:t>
      </w:r>
    </w:p>
    <w:p>
      <w:pPr>
        <w:pStyle w:val="BodyText"/>
        <w:spacing w:before="163"/>
        <w:jc w:val="left"/>
      </w:pPr>
    </w:p>
    <w:p>
      <w:pPr>
        <w:pStyle w:val="Heading2"/>
        <w:numPr>
          <w:ilvl w:val="0"/>
          <w:numId w:val="33"/>
        </w:numPr>
        <w:tabs>
          <w:tab w:pos="1842" w:val="left" w:leader="none"/>
        </w:tabs>
        <w:spacing w:line="240" w:lineRule="auto" w:before="0" w:after="0"/>
        <w:ind w:left="1842" w:right="0" w:hanging="566"/>
        <w:jc w:val="both"/>
      </w:pPr>
      <w:r>
        <w:rPr/>
        <w:t>Peluang:</w:t>
      </w:r>
      <w:r>
        <w:rPr>
          <w:spacing w:val="-7"/>
        </w:rPr>
        <w:t> </w:t>
      </w:r>
      <w:r>
        <w:rPr/>
        <w:t>Skema</w:t>
      </w:r>
      <w:r>
        <w:rPr>
          <w:spacing w:val="-5"/>
        </w:rPr>
        <w:t> </w:t>
      </w:r>
      <w:r>
        <w:rPr>
          <w:spacing w:val="-4"/>
        </w:rPr>
        <w:t>Pajak</w:t>
      </w:r>
    </w:p>
    <w:p>
      <w:pPr>
        <w:pStyle w:val="BodyText"/>
        <w:spacing w:line="360" w:lineRule="auto" w:before="161"/>
        <w:ind w:left="1843" w:right="706"/>
      </w:pPr>
      <w:r>
        <w:rPr/>
        <w:t>Berdasarkan Pedoman Umum APBD tahun 2024, yaitu dalam Permendagri Nomor 15 Tahun 2023, dalam hal penganggaran PDRD</w:t>
      </w:r>
      <w:r>
        <w:rPr>
          <w:spacing w:val="-17"/>
        </w:rPr>
        <w:t> </w:t>
      </w:r>
      <w:r>
        <w:rPr/>
        <w:t>yang</w:t>
      </w:r>
      <w:r>
        <w:rPr>
          <w:spacing w:val="-16"/>
        </w:rPr>
        <w:t> </w:t>
      </w:r>
      <w:r>
        <w:rPr/>
        <w:t>saat</w:t>
      </w:r>
      <w:r>
        <w:rPr>
          <w:spacing w:val="-17"/>
        </w:rPr>
        <w:t> </w:t>
      </w:r>
      <w:r>
        <w:rPr/>
        <w:t>ini</w:t>
      </w:r>
      <w:r>
        <w:rPr>
          <w:spacing w:val="-19"/>
        </w:rPr>
        <w:t> </w:t>
      </w:r>
      <w:r>
        <w:rPr/>
        <w:t>dilakukan,</w:t>
      </w:r>
      <w:r>
        <w:rPr>
          <w:spacing w:val="-16"/>
        </w:rPr>
        <w:t> </w:t>
      </w:r>
      <w:r>
        <w:rPr/>
        <w:t>Pemda</w:t>
      </w:r>
      <w:r>
        <w:rPr>
          <w:spacing w:val="-17"/>
        </w:rPr>
        <w:t> </w:t>
      </w:r>
      <w:r>
        <w:rPr/>
        <w:t>masih</w:t>
      </w:r>
      <w:r>
        <w:rPr>
          <w:spacing w:val="-16"/>
        </w:rPr>
        <w:t> </w:t>
      </w:r>
      <w:r>
        <w:rPr/>
        <w:t>merujuk</w:t>
      </w:r>
      <w:r>
        <w:rPr>
          <w:spacing w:val="-17"/>
        </w:rPr>
        <w:t> </w:t>
      </w:r>
      <w:r>
        <w:rPr/>
        <w:t>kepada</w:t>
      </w:r>
      <w:r>
        <w:rPr>
          <w:spacing w:val="-16"/>
        </w:rPr>
        <w:t> </w:t>
      </w:r>
      <w:r>
        <w:rPr/>
        <w:t>UU</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1"/>
      </w:pPr>
      <w:r>
        <w:rPr/>
        <w:t>Nomor 28 Tahun 2009 yang saat ini </w:t>
      </w:r>
      <w:r>
        <w:rPr>
          <w:i/>
        </w:rPr>
        <w:t>existing </w:t>
      </w:r>
      <w:r>
        <w:rPr/>
        <w:t>regulasinya. Namun,</w:t>
      </w:r>
      <w:r>
        <w:rPr>
          <w:spacing w:val="-7"/>
        </w:rPr>
        <w:t> </w:t>
      </w:r>
      <w:r>
        <w:rPr/>
        <w:t>pungutan</w:t>
      </w:r>
      <w:r>
        <w:rPr>
          <w:spacing w:val="-9"/>
        </w:rPr>
        <w:t> </w:t>
      </w:r>
      <w:r>
        <w:rPr/>
        <w:t>tersebut</w:t>
      </w:r>
      <w:r>
        <w:rPr>
          <w:spacing w:val="-7"/>
        </w:rPr>
        <w:t> </w:t>
      </w:r>
      <w:r>
        <w:rPr/>
        <w:t>paling</w:t>
      </w:r>
      <w:r>
        <w:rPr>
          <w:spacing w:val="-10"/>
        </w:rPr>
        <w:t> </w:t>
      </w:r>
      <w:r>
        <w:rPr/>
        <w:t>lama</w:t>
      </w:r>
      <w:r>
        <w:rPr>
          <w:spacing w:val="-11"/>
        </w:rPr>
        <w:t> </w:t>
      </w:r>
      <w:r>
        <w:rPr/>
        <w:t>dapat</w:t>
      </w:r>
      <w:r>
        <w:rPr>
          <w:spacing w:val="-7"/>
        </w:rPr>
        <w:t> </w:t>
      </w:r>
      <w:r>
        <w:rPr/>
        <w:t>dipungut</w:t>
      </w:r>
      <w:r>
        <w:rPr>
          <w:spacing w:val="-12"/>
        </w:rPr>
        <w:t> </w:t>
      </w:r>
      <w:r>
        <w:rPr/>
        <w:t>sampai dengan</w:t>
      </w:r>
      <w:r>
        <w:rPr>
          <w:spacing w:val="-4"/>
        </w:rPr>
        <w:t> </w:t>
      </w:r>
      <w:r>
        <w:rPr/>
        <w:t>tanggal</w:t>
      </w:r>
      <w:r>
        <w:rPr>
          <w:spacing w:val="-3"/>
        </w:rPr>
        <w:t> </w:t>
      </w:r>
      <w:r>
        <w:rPr/>
        <w:t>4</w:t>
      </w:r>
      <w:r>
        <w:rPr>
          <w:spacing w:val="-2"/>
        </w:rPr>
        <w:t> </w:t>
      </w:r>
      <w:r>
        <w:rPr/>
        <w:t>Januari</w:t>
      </w:r>
      <w:r>
        <w:rPr>
          <w:spacing w:val="-3"/>
        </w:rPr>
        <w:t> </w:t>
      </w:r>
      <w:r>
        <w:rPr/>
        <w:t>2024.</w:t>
      </w:r>
      <w:r>
        <w:rPr>
          <w:spacing w:val="-2"/>
        </w:rPr>
        <w:t> </w:t>
      </w:r>
      <w:r>
        <w:rPr/>
        <w:t>Setelah</w:t>
      </w:r>
      <w:r>
        <w:rPr>
          <w:spacing w:val="-4"/>
        </w:rPr>
        <w:t> </w:t>
      </w:r>
      <w:r>
        <w:rPr/>
        <w:t>tanggal</w:t>
      </w:r>
      <w:r>
        <w:rPr>
          <w:spacing w:val="-3"/>
        </w:rPr>
        <w:t> </w:t>
      </w:r>
      <w:r>
        <w:rPr/>
        <w:t>5</w:t>
      </w:r>
      <w:r>
        <w:rPr>
          <w:spacing w:val="-2"/>
        </w:rPr>
        <w:t> </w:t>
      </w:r>
      <w:r>
        <w:rPr/>
        <w:t>Januari</w:t>
      </w:r>
      <w:r>
        <w:rPr>
          <w:spacing w:val="-3"/>
        </w:rPr>
        <w:t> </w:t>
      </w:r>
      <w:r>
        <w:rPr/>
        <w:t>2024, semua daerah tidak terkecuali seluruh di Indonesia itu harus sudah mengakomodir perda terbaru yang sudah mengadopsi dari ketentuan Undang-Undang 1 tahun 2022 yang mana saat ini Kabupaten Kutai Kartanegara, dan juga 2 daerah lainnya yakni Kabupaten Penajam Paser Utara dan Provinsi Kalimantan Timur masih belum mengajukan rancangan Perda untuk </w:t>
      </w:r>
      <w:r>
        <w:rPr>
          <w:spacing w:val="-2"/>
        </w:rPr>
        <w:t>dievaluasi.</w:t>
      </w:r>
    </w:p>
    <w:p>
      <w:pPr>
        <w:pStyle w:val="BodyText"/>
        <w:spacing w:before="164"/>
        <w:jc w:val="left"/>
      </w:pPr>
    </w:p>
    <w:p>
      <w:pPr>
        <w:pStyle w:val="BodyText"/>
        <w:spacing w:line="360" w:lineRule="auto"/>
        <w:ind w:left="1843" w:right="699"/>
      </w:pPr>
      <w:r>
        <w:rPr/>
        <w:t>Penelahan lebih lanjut jenis pajak apa nanti seperti apa yang akan dipungut dan bagaimana perlakuannya, karena berdasar Undang-Undang Nomor 21 Tahun 2023 Tentang IKN, terdapat pasal yang membahas terkait kebijakan pendanaan dan pengelolaan</w:t>
      </w:r>
      <w:r>
        <w:rPr>
          <w:spacing w:val="-17"/>
        </w:rPr>
        <w:t> </w:t>
      </w:r>
      <w:r>
        <w:rPr/>
        <w:t>APBD.</w:t>
      </w:r>
      <w:r>
        <w:rPr>
          <w:spacing w:val="-16"/>
        </w:rPr>
        <w:t> </w:t>
      </w:r>
      <w:r>
        <w:rPr/>
        <w:t>Pasal</w:t>
      </w:r>
      <w:r>
        <w:rPr>
          <w:spacing w:val="-17"/>
        </w:rPr>
        <w:t> </w:t>
      </w:r>
      <w:r>
        <w:rPr/>
        <w:t>24</w:t>
      </w:r>
      <w:r>
        <w:rPr>
          <w:spacing w:val="-16"/>
        </w:rPr>
        <w:t> </w:t>
      </w:r>
      <w:r>
        <w:rPr/>
        <w:t>ayat</w:t>
      </w:r>
      <w:r>
        <w:rPr>
          <w:spacing w:val="-17"/>
        </w:rPr>
        <w:t> </w:t>
      </w:r>
      <w:r>
        <w:rPr/>
        <w:t>4,</w:t>
      </w:r>
      <w:r>
        <w:rPr>
          <w:spacing w:val="-16"/>
        </w:rPr>
        <w:t> </w:t>
      </w:r>
      <w:r>
        <w:rPr/>
        <w:t>menyebutkan</w:t>
      </w:r>
      <w:r>
        <w:rPr>
          <w:spacing w:val="-17"/>
        </w:rPr>
        <w:t> </w:t>
      </w:r>
      <w:r>
        <w:rPr/>
        <w:t>bahwa</w:t>
      </w:r>
      <w:r>
        <w:rPr>
          <w:spacing w:val="-16"/>
        </w:rPr>
        <w:t> </w:t>
      </w:r>
      <w:r>
        <w:rPr/>
        <w:t>Otorita IKN dapat melakukan pemungutan pajak khusus dan atau pungutan</w:t>
      </w:r>
      <w:r>
        <w:rPr>
          <w:spacing w:val="-1"/>
        </w:rPr>
        <w:t> </w:t>
      </w:r>
      <w:r>
        <w:rPr/>
        <w:t>khusus</w:t>
      </w:r>
      <w:r>
        <w:rPr>
          <w:spacing w:val="-1"/>
        </w:rPr>
        <w:t> </w:t>
      </w:r>
      <w:r>
        <w:rPr/>
        <w:t>di IKN. Di pasal 24 ayat 4 di Undang-Undang IKN ini, otorita IKN ini bisa melakukan pajak khusus. Berdasarkan </w:t>
      </w:r>
      <w:r>
        <w:rPr>
          <w:i/>
        </w:rPr>
        <w:t>Focus Group Discussion </w:t>
      </w:r>
      <w:r>
        <w:rPr/>
        <w:t>bersama Kemendagri, 15 November</w:t>
      </w:r>
      <w:r>
        <w:rPr>
          <w:spacing w:val="-2"/>
        </w:rPr>
        <w:t> </w:t>
      </w:r>
      <w:r>
        <w:rPr/>
        <w:t>2023 di</w:t>
      </w:r>
      <w:r>
        <w:rPr>
          <w:spacing w:val="-1"/>
        </w:rPr>
        <w:t> </w:t>
      </w:r>
      <w:r>
        <w:rPr/>
        <w:t>BRIN, belum</w:t>
      </w:r>
      <w:r>
        <w:rPr>
          <w:spacing w:val="-1"/>
        </w:rPr>
        <w:t> </w:t>
      </w:r>
      <w:r>
        <w:rPr/>
        <w:t>diketahui</w:t>
      </w:r>
      <w:r>
        <w:rPr>
          <w:spacing w:val="-1"/>
        </w:rPr>
        <w:t> </w:t>
      </w:r>
      <w:r>
        <w:rPr/>
        <w:t>apakah</w:t>
      </w:r>
      <w:r>
        <w:rPr>
          <w:spacing w:val="-2"/>
        </w:rPr>
        <w:t> </w:t>
      </w:r>
      <w:r>
        <w:rPr/>
        <w:t>pajak khusus yang dimaksud di UU IKN ini. Apakah kewenangan OIKN bisa melakukan pungutan terhadap kedua jenis pajak provinsi maupun kabupaten kota Yang kedua, apakah nanti pembagiannya itu untuk yang terdampak di IKN ini, yaitu tiga daerah Provinsi Kalimantan Timur, Kutai Kertanegara dan juga Penajaman</w:t>
      </w:r>
      <w:r>
        <w:rPr>
          <w:spacing w:val="-16"/>
        </w:rPr>
        <w:t> </w:t>
      </w:r>
      <w:r>
        <w:rPr/>
        <w:t>Paser</w:t>
      </w:r>
      <w:r>
        <w:rPr>
          <w:spacing w:val="-16"/>
        </w:rPr>
        <w:t> </w:t>
      </w:r>
      <w:r>
        <w:rPr/>
        <w:t>Utara.</w:t>
      </w:r>
      <w:r>
        <w:rPr>
          <w:spacing w:val="-14"/>
        </w:rPr>
        <w:t> </w:t>
      </w:r>
      <w:r>
        <w:rPr/>
        <w:t>Berdasar</w:t>
      </w:r>
      <w:r>
        <w:rPr>
          <w:spacing w:val="-16"/>
        </w:rPr>
        <w:t> </w:t>
      </w:r>
      <w:r>
        <w:rPr/>
        <w:t>Pasal</w:t>
      </w:r>
      <w:r>
        <w:rPr>
          <w:spacing w:val="-15"/>
        </w:rPr>
        <w:t> </w:t>
      </w:r>
      <w:r>
        <w:rPr/>
        <w:t>24</w:t>
      </w:r>
      <w:r>
        <w:rPr>
          <w:spacing w:val="-14"/>
        </w:rPr>
        <w:t> </w:t>
      </w:r>
      <w:r>
        <w:rPr/>
        <w:t>ayat</w:t>
      </w:r>
      <w:r>
        <w:rPr>
          <w:spacing w:val="-14"/>
        </w:rPr>
        <w:t> </w:t>
      </w:r>
      <w:r>
        <w:rPr/>
        <w:t>(4)</w:t>
      </w:r>
      <w:r>
        <w:rPr>
          <w:spacing w:val="-15"/>
        </w:rPr>
        <w:t> </w:t>
      </w:r>
      <w:r>
        <w:rPr/>
        <w:t>UU</w:t>
      </w:r>
      <w:r>
        <w:rPr>
          <w:spacing w:val="-16"/>
        </w:rPr>
        <w:t> </w:t>
      </w:r>
      <w:r>
        <w:rPr/>
        <w:t>Nomor</w:t>
      </w:r>
      <w:r>
        <w:rPr>
          <w:spacing w:val="-14"/>
        </w:rPr>
        <w:t> </w:t>
      </w:r>
      <w:r>
        <w:rPr/>
        <w:t>21 Tahun 2023, OIKN masih tetap bisa melakukan pemungutan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00"/>
        <w:jc w:val="left"/>
      </w:pPr>
      <w:r>
        <w:rPr/>
        <w:t>PDRD</w:t>
      </w:r>
      <w:r>
        <w:rPr>
          <w:spacing w:val="40"/>
        </w:rPr>
        <w:t> </w:t>
      </w:r>
      <w:r>
        <w:rPr/>
        <w:t>seperti</w:t>
      </w:r>
      <w:r>
        <w:rPr>
          <w:spacing w:val="40"/>
        </w:rPr>
        <w:t> </w:t>
      </w:r>
      <w:r>
        <w:rPr/>
        <w:t>pada</w:t>
      </w:r>
      <w:r>
        <w:rPr>
          <w:spacing w:val="40"/>
        </w:rPr>
        <w:t> </w:t>
      </w:r>
      <w:r>
        <w:rPr/>
        <w:t>umumnya,</w:t>
      </w:r>
      <w:r>
        <w:rPr>
          <w:spacing w:val="40"/>
        </w:rPr>
        <w:t> </w:t>
      </w:r>
      <w:r>
        <w:rPr/>
        <w:t>namun</w:t>
      </w:r>
      <w:r>
        <w:rPr>
          <w:spacing w:val="40"/>
        </w:rPr>
        <w:t> </w:t>
      </w:r>
      <w:r>
        <w:rPr/>
        <w:t>menunggu</w:t>
      </w:r>
      <w:r>
        <w:rPr>
          <w:spacing w:val="40"/>
        </w:rPr>
        <w:t> </w:t>
      </w:r>
      <w:r>
        <w:rPr/>
        <w:t>Peraturan Kepala OIKN setelah mendapat persetujuan DPR.</w:t>
      </w:r>
    </w:p>
    <w:p>
      <w:pPr>
        <w:pStyle w:val="BodyText"/>
        <w:spacing w:before="159"/>
        <w:jc w:val="left"/>
      </w:pPr>
    </w:p>
    <w:p>
      <w:pPr>
        <w:pStyle w:val="Heading2"/>
        <w:numPr>
          <w:ilvl w:val="2"/>
          <w:numId w:val="32"/>
        </w:numPr>
        <w:tabs>
          <w:tab w:pos="1811" w:val="left" w:leader="none"/>
        </w:tabs>
        <w:spacing w:line="240" w:lineRule="auto" w:before="0" w:after="0"/>
        <w:ind w:left="1811" w:right="0" w:hanging="611"/>
        <w:jc w:val="both"/>
      </w:pPr>
      <w:bookmarkStart w:name="_bookmark57" w:id="58"/>
      <w:bookmarkEnd w:id="58"/>
      <w:r>
        <w:rPr>
          <w:b w:val="0"/>
        </w:rPr>
      </w:r>
      <w:r>
        <w:rPr/>
        <w:t>Dampak</w:t>
      </w:r>
      <w:r>
        <w:rPr>
          <w:spacing w:val="-8"/>
        </w:rPr>
        <w:t> </w:t>
      </w:r>
      <w:r>
        <w:rPr>
          <w:spacing w:val="-2"/>
        </w:rPr>
        <w:t>Sosial</w:t>
      </w:r>
    </w:p>
    <w:p>
      <w:pPr>
        <w:pStyle w:val="BodyText"/>
        <w:spacing w:line="360" w:lineRule="auto" w:before="223"/>
        <w:ind w:left="1276" w:right="699" w:firstLine="778"/>
      </w:pPr>
      <w:r>
        <w:rPr/>
        <w:t>Pemerintah Kabupaten Kutai Kartanegara berpendapat bahwa</w:t>
      </w:r>
      <w:r>
        <w:rPr>
          <w:spacing w:val="-6"/>
        </w:rPr>
        <w:t> </w:t>
      </w:r>
      <w:r>
        <w:rPr/>
        <w:t>IKN</w:t>
      </w:r>
      <w:r>
        <w:rPr>
          <w:spacing w:val="-6"/>
        </w:rPr>
        <w:t> </w:t>
      </w:r>
      <w:r>
        <w:rPr/>
        <w:t>merupakan</w:t>
      </w:r>
      <w:r>
        <w:rPr>
          <w:spacing w:val="-6"/>
        </w:rPr>
        <w:t> </w:t>
      </w:r>
      <w:r>
        <w:rPr/>
        <w:t>sebuah</w:t>
      </w:r>
      <w:r>
        <w:rPr>
          <w:spacing w:val="-6"/>
        </w:rPr>
        <w:t> </w:t>
      </w:r>
      <w:r>
        <w:rPr/>
        <w:t>keputusan</w:t>
      </w:r>
      <w:r>
        <w:rPr>
          <w:spacing w:val="-1"/>
        </w:rPr>
        <w:t> </w:t>
      </w:r>
      <w:r>
        <w:rPr/>
        <w:t>atau</w:t>
      </w:r>
      <w:r>
        <w:rPr>
          <w:spacing w:val="-1"/>
        </w:rPr>
        <w:t> </w:t>
      </w:r>
      <w:r>
        <w:rPr/>
        <w:t>proyek</w:t>
      </w:r>
      <w:r>
        <w:rPr>
          <w:spacing w:val="-4"/>
        </w:rPr>
        <w:t> </w:t>
      </w:r>
      <w:r>
        <w:rPr/>
        <w:t>nasional</w:t>
      </w:r>
      <w:r>
        <w:rPr>
          <w:spacing w:val="-5"/>
        </w:rPr>
        <w:t> </w:t>
      </w:r>
      <w:r>
        <w:rPr/>
        <w:t>yang harus</w:t>
      </w:r>
      <w:r>
        <w:rPr>
          <w:spacing w:val="-5"/>
        </w:rPr>
        <w:t> </w:t>
      </w:r>
      <w:r>
        <w:rPr/>
        <w:t>ditindaklanjuti,</w:t>
      </w:r>
      <w:r>
        <w:rPr>
          <w:spacing w:val="-4"/>
        </w:rPr>
        <w:t> </w:t>
      </w:r>
      <w:r>
        <w:rPr/>
        <w:t>dengan</w:t>
      </w:r>
      <w:r>
        <w:rPr>
          <w:spacing w:val="-6"/>
        </w:rPr>
        <w:t> </w:t>
      </w:r>
      <w:r>
        <w:rPr/>
        <w:t>harapan</w:t>
      </w:r>
      <w:r>
        <w:rPr>
          <w:spacing w:val="-6"/>
        </w:rPr>
        <w:t> </w:t>
      </w:r>
      <w:r>
        <w:rPr/>
        <w:t>wilayahnya</w:t>
      </w:r>
      <w:r>
        <w:rPr>
          <w:spacing w:val="-6"/>
        </w:rPr>
        <w:t> </w:t>
      </w:r>
      <w:r>
        <w:rPr/>
        <w:t>tetap</w:t>
      </w:r>
      <w:r>
        <w:rPr>
          <w:spacing w:val="-6"/>
        </w:rPr>
        <w:t> </w:t>
      </w:r>
      <w:r>
        <w:rPr/>
        <w:t>diperhatikan dan dikembangkan. Mereka yang pernah menunjukkan sikap kritis hanya sebagian kecil masyarakat lokal, namun dinilai tidak menentang kebijakan nasional pembangunan IKN. Yang mereka kuatirkan</w:t>
      </w:r>
      <w:r>
        <w:rPr>
          <w:spacing w:val="-1"/>
        </w:rPr>
        <w:t> </w:t>
      </w:r>
      <w:r>
        <w:rPr/>
        <w:t>adalah</w:t>
      </w:r>
      <w:r>
        <w:rPr>
          <w:spacing w:val="-1"/>
        </w:rPr>
        <w:t> </w:t>
      </w:r>
      <w:r>
        <w:rPr/>
        <w:t>mereka akan</w:t>
      </w:r>
      <w:r>
        <w:rPr>
          <w:spacing w:val="-1"/>
        </w:rPr>
        <w:t> </w:t>
      </w:r>
      <w:r>
        <w:rPr/>
        <w:t>terpinggirkan atau</w:t>
      </w:r>
      <w:r>
        <w:rPr>
          <w:spacing w:val="-1"/>
        </w:rPr>
        <w:t> </w:t>
      </w:r>
      <w:r>
        <w:rPr/>
        <w:t>termarjinalisasinya posisinya,</w:t>
      </w:r>
      <w:r>
        <w:rPr>
          <w:spacing w:val="-4"/>
        </w:rPr>
        <w:t> </w:t>
      </w:r>
      <w:r>
        <w:rPr/>
        <w:t>jika</w:t>
      </w:r>
      <w:r>
        <w:rPr>
          <w:spacing w:val="-6"/>
        </w:rPr>
        <w:t> </w:t>
      </w:r>
      <w:r>
        <w:rPr/>
        <w:t>mereka</w:t>
      </w:r>
      <w:r>
        <w:rPr>
          <w:spacing w:val="-7"/>
        </w:rPr>
        <w:t> </w:t>
      </w:r>
      <w:r>
        <w:rPr/>
        <w:t>terabaikan.</w:t>
      </w:r>
      <w:r>
        <w:rPr>
          <w:spacing w:val="-4"/>
        </w:rPr>
        <w:t> </w:t>
      </w:r>
      <w:r>
        <w:rPr/>
        <w:t>Hal</w:t>
      </w:r>
      <w:r>
        <w:rPr>
          <w:spacing w:val="-5"/>
        </w:rPr>
        <w:t> </w:t>
      </w:r>
      <w:r>
        <w:rPr/>
        <w:t>senada</w:t>
      </w:r>
      <w:r>
        <w:rPr>
          <w:spacing w:val="-7"/>
        </w:rPr>
        <w:t> </w:t>
      </w:r>
      <w:r>
        <w:rPr/>
        <w:t>juga</w:t>
      </w:r>
      <w:r>
        <w:rPr>
          <w:spacing w:val="-7"/>
        </w:rPr>
        <w:t> </w:t>
      </w:r>
      <w:r>
        <w:rPr/>
        <w:t>diungkapkan</w:t>
      </w:r>
      <w:r>
        <w:rPr>
          <w:spacing w:val="-6"/>
        </w:rPr>
        <w:t> </w:t>
      </w:r>
      <w:r>
        <w:rPr/>
        <w:t>oleh Kepala Desa Sungai Payang. Menurutnya Masyarakat desa tidak terlalu merespon dengan adanya IKN, karena tidak ada sosialisasi terkait IKN. Walaupun, sesungguhnya masyarakat merasa senang (Wawancara Kepala Desa Sungai Payang, 26 Oktober 2023).</w:t>
      </w:r>
    </w:p>
    <w:p>
      <w:pPr>
        <w:pStyle w:val="BodyText"/>
        <w:spacing w:line="360" w:lineRule="auto" w:before="1"/>
        <w:ind w:left="1276" w:right="699" w:firstLine="710"/>
      </w:pPr>
      <w:r>
        <w:rPr/>
        <w:t>Lurah Muara Jawa Tengah, Adi Krisna dalam wawancara tanggal 26 Oktober 2023 mengemukakan harapannya. Sebagai Kawasan penyangga</w:t>
      </w:r>
      <w:r>
        <w:rPr>
          <w:spacing w:val="-1"/>
        </w:rPr>
        <w:t> </w:t>
      </w:r>
      <w:r>
        <w:rPr/>
        <w:t>di WP 9, wilayahnya</w:t>
      </w:r>
      <w:r>
        <w:rPr>
          <w:spacing w:val="-1"/>
        </w:rPr>
        <w:t> </w:t>
      </w:r>
      <w:r>
        <w:rPr/>
        <w:t>tidak dinomorduakan atau tertinggal dalam Pembangunan dan pengembangan IKN. Ada kekhawatiran atas kesiapan wilayahnya dalam merespon dampak sosial</w:t>
      </w:r>
      <w:r>
        <w:rPr>
          <w:spacing w:val="-14"/>
        </w:rPr>
        <w:t> </w:t>
      </w:r>
      <w:r>
        <w:rPr/>
        <w:t>jika</w:t>
      </w:r>
      <w:r>
        <w:rPr>
          <w:spacing w:val="-15"/>
        </w:rPr>
        <w:t> </w:t>
      </w:r>
      <w:r>
        <w:rPr/>
        <w:t>IKN</w:t>
      </w:r>
      <w:r>
        <w:rPr>
          <w:spacing w:val="-15"/>
        </w:rPr>
        <w:t> </w:t>
      </w:r>
      <w:r>
        <w:rPr/>
        <w:t>menjadi</w:t>
      </w:r>
      <w:r>
        <w:rPr>
          <w:spacing w:val="-14"/>
        </w:rPr>
        <w:t> </w:t>
      </w:r>
      <w:r>
        <w:rPr/>
        <w:t>kota</w:t>
      </w:r>
      <w:r>
        <w:rPr>
          <w:spacing w:val="-15"/>
        </w:rPr>
        <w:t> </w:t>
      </w:r>
      <w:r>
        <w:rPr/>
        <w:t>dunia.</w:t>
      </w:r>
      <w:r>
        <w:rPr>
          <w:spacing w:val="-9"/>
        </w:rPr>
        <w:t> </w:t>
      </w:r>
      <w:r>
        <w:rPr/>
        <w:t>Diakui</w:t>
      </w:r>
      <w:r>
        <w:rPr>
          <w:spacing w:val="-14"/>
        </w:rPr>
        <w:t> </w:t>
      </w:r>
      <w:r>
        <w:rPr/>
        <w:t>bahwa</w:t>
      </w:r>
      <w:r>
        <w:rPr>
          <w:spacing w:val="-16"/>
        </w:rPr>
        <w:t> </w:t>
      </w:r>
      <w:r>
        <w:rPr/>
        <w:t>di</w:t>
      </w:r>
      <w:r>
        <w:rPr>
          <w:spacing w:val="-13"/>
        </w:rPr>
        <w:t> </w:t>
      </w:r>
      <w:r>
        <w:rPr/>
        <w:t>Kecamatan</w:t>
      </w:r>
      <w:r>
        <w:rPr>
          <w:spacing w:val="-15"/>
        </w:rPr>
        <w:t> </w:t>
      </w:r>
      <w:r>
        <w:rPr/>
        <w:t>Muara Jawa, masih terdapat kelompok warga miskin. Dengan diambilnya wilayah mereka secara menyeluruh sebagai wilayah IKN, memang terjadi pengalihan warga miskin menjadi beban OIKN.</w:t>
      </w:r>
    </w:p>
    <w:p>
      <w:pPr>
        <w:pStyle w:val="BodyText"/>
        <w:spacing w:line="360" w:lineRule="auto" w:before="2"/>
        <w:ind w:left="1276" w:right="699" w:firstLine="710"/>
      </w:pPr>
      <w:r>
        <w:rPr/>
        <w:t>Kepala Dinas PUPR Kabupaten Kutai Kartanegara juga menyampaikan kekhawatiran ke depan dari Pembangunan IKN, dimana</w:t>
      </w:r>
      <w:r>
        <w:rPr>
          <w:spacing w:val="-13"/>
        </w:rPr>
        <w:t> </w:t>
      </w:r>
      <w:r>
        <w:rPr/>
        <w:t>Masyarakat</w:t>
      </w:r>
      <w:r>
        <w:rPr>
          <w:spacing w:val="-11"/>
        </w:rPr>
        <w:t> </w:t>
      </w:r>
      <w:r>
        <w:rPr/>
        <w:t>Kutai</w:t>
      </w:r>
      <w:r>
        <w:rPr>
          <w:spacing w:val="-12"/>
        </w:rPr>
        <w:t> </w:t>
      </w:r>
      <w:r>
        <w:rPr/>
        <w:t>Kartanegara</w:t>
      </w:r>
      <w:r>
        <w:rPr>
          <w:spacing w:val="-13"/>
        </w:rPr>
        <w:t> </w:t>
      </w:r>
      <w:r>
        <w:rPr/>
        <w:t>hanya</w:t>
      </w:r>
      <w:r>
        <w:rPr>
          <w:spacing w:val="-13"/>
        </w:rPr>
        <w:t> </w:t>
      </w:r>
      <w:r>
        <w:rPr/>
        <w:t>akan</w:t>
      </w:r>
      <w:r>
        <w:rPr>
          <w:spacing w:val="-13"/>
        </w:rPr>
        <w:t> </w:t>
      </w:r>
      <w:r>
        <w:rPr/>
        <w:t>menjadi</w:t>
      </w:r>
      <w:r>
        <w:rPr>
          <w:spacing w:val="-12"/>
        </w:rPr>
        <w:t> </w:t>
      </w:r>
      <w:r>
        <w:rPr/>
        <w:t>penonton</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0"/>
      </w:pPr>
      <w:r>
        <w:rPr/>
        <w:t>pembangunan</w:t>
      </w:r>
      <w:r>
        <w:rPr>
          <w:spacing w:val="-10"/>
        </w:rPr>
        <w:t> </w:t>
      </w:r>
      <w:r>
        <w:rPr/>
        <w:t>saja.</w:t>
      </w:r>
      <w:r>
        <w:rPr>
          <w:spacing w:val="-9"/>
        </w:rPr>
        <w:t> </w:t>
      </w:r>
      <w:r>
        <w:rPr/>
        <w:t>Hal</w:t>
      </w:r>
      <w:r>
        <w:rPr>
          <w:spacing w:val="-10"/>
        </w:rPr>
        <w:t> </w:t>
      </w:r>
      <w:r>
        <w:rPr/>
        <w:t>ini</w:t>
      </w:r>
      <w:r>
        <w:rPr>
          <w:spacing w:val="-10"/>
        </w:rPr>
        <w:t> </w:t>
      </w:r>
      <w:r>
        <w:rPr/>
        <w:t>bisa</w:t>
      </w:r>
      <w:r>
        <w:rPr>
          <w:spacing w:val="-12"/>
        </w:rPr>
        <w:t> </w:t>
      </w:r>
      <w:r>
        <w:rPr/>
        <w:t>jadi</w:t>
      </w:r>
      <w:r>
        <w:rPr>
          <w:spacing w:val="-10"/>
        </w:rPr>
        <w:t> </w:t>
      </w:r>
      <w:r>
        <w:rPr/>
        <w:t>disebabkan</w:t>
      </w:r>
      <w:r>
        <w:rPr>
          <w:spacing w:val="-10"/>
        </w:rPr>
        <w:t> </w:t>
      </w:r>
      <w:r>
        <w:rPr/>
        <w:t>oleh</w:t>
      </w:r>
      <w:r>
        <w:rPr>
          <w:spacing w:val="-11"/>
        </w:rPr>
        <w:t> </w:t>
      </w:r>
      <w:r>
        <w:rPr/>
        <w:t>daya</w:t>
      </w:r>
      <w:r>
        <w:rPr>
          <w:spacing w:val="-12"/>
        </w:rPr>
        <w:t> </w:t>
      </w:r>
      <w:r>
        <w:rPr/>
        <w:t>saing</w:t>
      </w:r>
      <w:r>
        <w:rPr>
          <w:spacing w:val="-12"/>
        </w:rPr>
        <w:t> </w:t>
      </w:r>
      <w:r>
        <w:rPr/>
        <w:t>SDM Kutai Kartanegara dilihat dari pendidikan yang masih rendah. Jika dilakukan</w:t>
      </w:r>
      <w:r>
        <w:rPr>
          <w:spacing w:val="-17"/>
        </w:rPr>
        <w:t> </w:t>
      </w:r>
      <w:r>
        <w:rPr/>
        <w:t>persaingan</w:t>
      </w:r>
      <w:r>
        <w:rPr>
          <w:spacing w:val="-16"/>
        </w:rPr>
        <w:t> </w:t>
      </w:r>
      <w:r>
        <w:rPr/>
        <w:t>bebas,</w:t>
      </w:r>
      <w:r>
        <w:rPr>
          <w:spacing w:val="-17"/>
        </w:rPr>
        <w:t> </w:t>
      </w:r>
      <w:r>
        <w:rPr/>
        <w:t>tentu</w:t>
      </w:r>
      <w:r>
        <w:rPr>
          <w:spacing w:val="-16"/>
        </w:rPr>
        <w:t> </w:t>
      </w:r>
      <w:r>
        <w:rPr/>
        <w:t>SDM</w:t>
      </w:r>
      <w:r>
        <w:rPr>
          <w:spacing w:val="-16"/>
        </w:rPr>
        <w:t> </w:t>
      </w:r>
      <w:r>
        <w:rPr/>
        <w:t>Kutai</w:t>
      </w:r>
      <w:r>
        <w:rPr>
          <w:spacing w:val="-16"/>
        </w:rPr>
        <w:t> </w:t>
      </w:r>
      <w:r>
        <w:rPr/>
        <w:t>Kartanegara</w:t>
      </w:r>
      <w:r>
        <w:rPr>
          <w:spacing w:val="-17"/>
        </w:rPr>
        <w:t> </w:t>
      </w:r>
      <w:r>
        <w:rPr/>
        <w:t>akan</w:t>
      </w:r>
      <w:r>
        <w:rPr>
          <w:spacing w:val="-16"/>
        </w:rPr>
        <w:t> </w:t>
      </w:r>
      <w:r>
        <w:rPr/>
        <w:t>kalah bersaing dibandingkan para pendatang terutama dari Pulau Jawa.</w:t>
      </w:r>
    </w:p>
    <w:p>
      <w:pPr>
        <w:pStyle w:val="BodyText"/>
        <w:spacing w:line="360" w:lineRule="auto" w:before="5"/>
        <w:ind w:left="1276" w:right="699" w:firstLine="710"/>
      </w:pPr>
      <w:r>
        <w:rPr/>
        <w:t>Hal senada juga disampaikan oleh Kepala Desa Jonggon. Menurutnya, Masyarakat sudah khawatir mereka akan tersingkir sebagaimana</w:t>
      </w:r>
      <w:r>
        <w:rPr>
          <w:spacing w:val="-17"/>
        </w:rPr>
        <w:t> </w:t>
      </w:r>
      <w:r>
        <w:rPr/>
        <w:t>Masyarakat</w:t>
      </w:r>
      <w:r>
        <w:rPr>
          <w:spacing w:val="-16"/>
        </w:rPr>
        <w:t> </w:t>
      </w:r>
      <w:r>
        <w:rPr/>
        <w:t>Betawi</w:t>
      </w:r>
      <w:r>
        <w:rPr>
          <w:spacing w:val="-17"/>
        </w:rPr>
        <w:t> </w:t>
      </w:r>
      <w:r>
        <w:rPr/>
        <w:t>di</w:t>
      </w:r>
      <w:r>
        <w:rPr>
          <w:spacing w:val="-16"/>
        </w:rPr>
        <w:t> </w:t>
      </w:r>
      <w:r>
        <w:rPr/>
        <w:t>Jakarta.</w:t>
      </w:r>
      <w:r>
        <w:rPr>
          <w:spacing w:val="-17"/>
        </w:rPr>
        <w:t> </w:t>
      </w:r>
      <w:r>
        <w:rPr/>
        <w:t>Tersingkir</w:t>
      </w:r>
      <w:r>
        <w:rPr>
          <w:spacing w:val="-16"/>
        </w:rPr>
        <w:t> </w:t>
      </w:r>
      <w:r>
        <w:rPr/>
        <w:t>bisa</w:t>
      </w:r>
      <w:r>
        <w:rPr>
          <w:spacing w:val="-17"/>
        </w:rPr>
        <w:t> </w:t>
      </w:r>
      <w:r>
        <w:rPr/>
        <w:t>jadi</w:t>
      </w:r>
      <w:r>
        <w:rPr>
          <w:spacing w:val="-16"/>
        </w:rPr>
        <w:t> </w:t>
      </w:r>
      <w:r>
        <w:rPr/>
        <w:t>karena tidak memiliki modal kapital yang cukup, atau keahlian yang dapat bersaing dengan para pendatang.</w:t>
      </w:r>
    </w:p>
    <w:p>
      <w:pPr>
        <w:pStyle w:val="BodyText"/>
        <w:spacing w:line="360" w:lineRule="auto"/>
        <w:ind w:left="1276" w:right="699" w:firstLine="710"/>
      </w:pPr>
      <w:r>
        <w:rPr/>
        <w:t>Juga muncul kekuatiran, warga lokal di Kabupaten Kutai Kartanegara</w:t>
      </w:r>
      <w:r>
        <w:rPr>
          <w:spacing w:val="-7"/>
        </w:rPr>
        <w:t> </w:t>
      </w:r>
      <w:r>
        <w:rPr/>
        <w:t>yang</w:t>
      </w:r>
      <w:r>
        <w:rPr>
          <w:spacing w:val="-7"/>
        </w:rPr>
        <w:t> </w:t>
      </w:r>
      <w:r>
        <w:rPr/>
        <w:t>bekerja</w:t>
      </w:r>
      <w:r>
        <w:rPr>
          <w:spacing w:val="-8"/>
        </w:rPr>
        <w:t> </w:t>
      </w:r>
      <w:r>
        <w:rPr/>
        <w:t>di</w:t>
      </w:r>
      <w:r>
        <w:rPr>
          <w:spacing w:val="-6"/>
        </w:rPr>
        <w:t> </w:t>
      </w:r>
      <w:r>
        <w:rPr/>
        <w:t>sektor</w:t>
      </w:r>
      <w:r>
        <w:rPr>
          <w:spacing w:val="-8"/>
        </w:rPr>
        <w:t> </w:t>
      </w:r>
      <w:r>
        <w:rPr/>
        <w:t>pertambangan</w:t>
      </w:r>
      <w:r>
        <w:rPr>
          <w:spacing w:val="-6"/>
        </w:rPr>
        <w:t> </w:t>
      </w:r>
      <w:r>
        <w:rPr/>
        <w:t>dan</w:t>
      </w:r>
      <w:r>
        <w:rPr>
          <w:spacing w:val="-11"/>
        </w:rPr>
        <w:t> </w:t>
      </w:r>
      <w:r>
        <w:rPr/>
        <w:t>sektor</w:t>
      </w:r>
      <w:r>
        <w:rPr>
          <w:spacing w:val="-7"/>
        </w:rPr>
        <w:t> </w:t>
      </w:r>
      <w:r>
        <w:rPr/>
        <w:t>swasta lainnya, apakah mereka bisa berkembang maju, tidak hanya menempati posisi sebagai </w:t>
      </w:r>
      <w:r>
        <w:rPr>
          <w:i/>
        </w:rPr>
        <w:t>blue collar workers </w:t>
      </w:r>
      <w:r>
        <w:rPr/>
        <w:t>dan pekerja kasar di lapangan, seperti satpam, petugas </w:t>
      </w:r>
      <w:r>
        <w:rPr>
          <w:i/>
        </w:rPr>
        <w:t>cleaning service </w:t>
      </w:r>
      <w:r>
        <w:rPr/>
        <w:t>dan sejenisnya. Karena, sebagian besar pendidikan mereka berlatar belakang SMP. Kesenjangan pembangunan dan disparitas sosial antara penduduk IKN dan wilayah mitranya dikuatirkan terjadi, jika IKN tumbuh dan berkembang pesat menjadi kota internasional. Berbagai dampak sosial</w:t>
      </w:r>
      <w:r>
        <w:rPr>
          <w:spacing w:val="-4"/>
        </w:rPr>
        <w:t> </w:t>
      </w:r>
      <w:r>
        <w:rPr/>
        <w:t>yang</w:t>
      </w:r>
      <w:r>
        <w:rPr>
          <w:spacing w:val="-5"/>
        </w:rPr>
        <w:t> </w:t>
      </w:r>
      <w:r>
        <w:rPr/>
        <w:t>mengikutinya</w:t>
      </w:r>
      <w:r>
        <w:rPr>
          <w:spacing w:val="-5"/>
        </w:rPr>
        <w:t> </w:t>
      </w:r>
      <w:r>
        <w:rPr/>
        <w:t>dikuatirkan</w:t>
      </w:r>
      <w:r>
        <w:rPr>
          <w:spacing w:val="-5"/>
        </w:rPr>
        <w:t> </w:t>
      </w:r>
      <w:r>
        <w:rPr/>
        <w:t>akan</w:t>
      </w:r>
      <w:r>
        <w:rPr>
          <w:spacing w:val="-5"/>
        </w:rPr>
        <w:t> </w:t>
      </w:r>
      <w:r>
        <w:rPr/>
        <w:t>menggerus</w:t>
      </w:r>
      <w:r>
        <w:rPr>
          <w:spacing w:val="-4"/>
        </w:rPr>
        <w:t> </w:t>
      </w:r>
      <w:r>
        <w:rPr/>
        <w:t>nilai-nilai dan kehidupan masyarakat lokal.</w:t>
      </w:r>
    </w:p>
    <w:p>
      <w:pPr>
        <w:pStyle w:val="BodyText"/>
        <w:spacing w:line="360" w:lineRule="auto" w:before="2"/>
        <w:ind w:left="1276" w:right="697" w:firstLine="710"/>
      </w:pPr>
      <w:r>
        <w:rPr/>
        <w:t>Kepala Desa Jonggon misalnya khawatir terhadap anak-anak muda di desanya yang merasa minder karena kapasitas dan kompetensi tenaga kerja usia muda masih rendah. Ditambah lagi pada</w:t>
      </w:r>
      <w:r>
        <w:rPr>
          <w:spacing w:val="-6"/>
        </w:rPr>
        <w:t> </w:t>
      </w:r>
      <w:r>
        <w:rPr/>
        <w:t>kasus</w:t>
      </w:r>
      <w:r>
        <w:rPr>
          <w:spacing w:val="-5"/>
        </w:rPr>
        <w:t> </w:t>
      </w:r>
      <w:r>
        <w:rPr/>
        <w:t>di</w:t>
      </w:r>
      <w:r>
        <w:rPr>
          <w:spacing w:val="-4"/>
        </w:rPr>
        <w:t> </w:t>
      </w:r>
      <w:r>
        <w:rPr/>
        <w:t>Desa</w:t>
      </w:r>
      <w:r>
        <w:rPr>
          <w:spacing w:val="-6"/>
        </w:rPr>
        <w:t> </w:t>
      </w:r>
      <w:r>
        <w:rPr/>
        <w:t>Jonggon,</w:t>
      </w:r>
      <w:r>
        <w:rPr>
          <w:spacing w:val="-3"/>
        </w:rPr>
        <w:t> </w:t>
      </w:r>
      <w:r>
        <w:rPr/>
        <w:t>pelatihan</w:t>
      </w:r>
      <w:r>
        <w:rPr>
          <w:spacing w:val="-5"/>
        </w:rPr>
        <w:t> </w:t>
      </w:r>
      <w:r>
        <w:rPr/>
        <w:t>kerja</w:t>
      </w:r>
      <w:r>
        <w:rPr>
          <w:spacing w:val="-7"/>
        </w:rPr>
        <w:t> </w:t>
      </w:r>
      <w:r>
        <w:rPr/>
        <w:t>untuk</w:t>
      </w:r>
      <w:r>
        <w:rPr>
          <w:spacing w:val="-3"/>
        </w:rPr>
        <w:t> </w:t>
      </w:r>
      <w:r>
        <w:rPr/>
        <w:t>generasi</w:t>
      </w:r>
      <w:r>
        <w:rPr>
          <w:spacing w:val="-4"/>
        </w:rPr>
        <w:t> </w:t>
      </w:r>
      <w:r>
        <w:rPr/>
        <w:t>muda</w:t>
      </w:r>
      <w:r>
        <w:rPr>
          <w:spacing w:val="-6"/>
        </w:rPr>
        <w:t> </w:t>
      </w:r>
      <w:r>
        <w:rPr/>
        <w:t>di desanya dilakukan di Jakarta. Rasa minder ini jika dibiarkan cenderung</w:t>
      </w:r>
      <w:r>
        <w:rPr>
          <w:spacing w:val="-11"/>
        </w:rPr>
        <w:t> </w:t>
      </w:r>
      <w:r>
        <w:rPr/>
        <w:t>menjadi</w:t>
      </w:r>
      <w:r>
        <w:rPr>
          <w:spacing w:val="-10"/>
        </w:rPr>
        <w:t> </w:t>
      </w:r>
      <w:r>
        <w:rPr/>
        <w:t>faktor</w:t>
      </w:r>
      <w:r>
        <w:rPr>
          <w:spacing w:val="-11"/>
        </w:rPr>
        <w:t> </w:t>
      </w:r>
      <w:r>
        <w:rPr/>
        <w:t>negatif.</w:t>
      </w:r>
      <w:r>
        <w:rPr>
          <w:spacing w:val="-9"/>
        </w:rPr>
        <w:t> </w:t>
      </w:r>
      <w:r>
        <w:rPr/>
        <w:t>Hingga</w:t>
      </w:r>
      <w:r>
        <w:rPr>
          <w:spacing w:val="-7"/>
        </w:rPr>
        <w:t> </w:t>
      </w:r>
      <w:r>
        <w:rPr/>
        <w:t>saat</w:t>
      </w:r>
      <w:r>
        <w:rPr>
          <w:spacing w:val="-6"/>
        </w:rPr>
        <w:t> </w:t>
      </w:r>
      <w:r>
        <w:rPr/>
        <w:t>riset</w:t>
      </w:r>
      <w:r>
        <w:rPr>
          <w:spacing w:val="-9"/>
        </w:rPr>
        <w:t> </w:t>
      </w:r>
      <w:r>
        <w:rPr/>
        <w:t>selesai</w:t>
      </w:r>
      <w:r>
        <w:rPr>
          <w:spacing w:val="-10"/>
        </w:rPr>
        <w:t> </w:t>
      </w:r>
      <w:r>
        <w:rPr/>
        <w:t>dilakukan hanya</w:t>
      </w:r>
      <w:r>
        <w:rPr>
          <w:spacing w:val="32"/>
        </w:rPr>
        <w:t> </w:t>
      </w:r>
      <w:r>
        <w:rPr/>
        <w:t>ada</w:t>
      </w:r>
      <w:r>
        <w:rPr>
          <w:spacing w:val="32"/>
        </w:rPr>
        <w:t> </w:t>
      </w:r>
      <w:r>
        <w:rPr/>
        <w:t>1</w:t>
      </w:r>
      <w:r>
        <w:rPr>
          <w:spacing w:val="35"/>
        </w:rPr>
        <w:t> </w:t>
      </w:r>
      <w:r>
        <w:rPr/>
        <w:t>orang</w:t>
      </w:r>
      <w:r>
        <w:rPr>
          <w:spacing w:val="32"/>
        </w:rPr>
        <w:t> </w:t>
      </w:r>
      <w:r>
        <w:rPr/>
        <w:t>penduduk</w:t>
      </w:r>
      <w:r>
        <w:rPr>
          <w:spacing w:val="35"/>
        </w:rPr>
        <w:t> </w:t>
      </w:r>
      <w:r>
        <w:rPr/>
        <w:t>Desa</w:t>
      </w:r>
      <w:r>
        <w:rPr>
          <w:spacing w:val="32"/>
        </w:rPr>
        <w:t> </w:t>
      </w:r>
      <w:r>
        <w:rPr/>
        <w:t>Jonggon</w:t>
      </w:r>
      <w:r>
        <w:rPr>
          <w:spacing w:val="37"/>
        </w:rPr>
        <w:t> </w:t>
      </w:r>
      <w:r>
        <w:rPr/>
        <w:t>yang</w:t>
      </w:r>
      <w:r>
        <w:rPr>
          <w:spacing w:val="37"/>
        </w:rPr>
        <w:t> </w:t>
      </w:r>
      <w:r>
        <w:rPr/>
        <w:t>bekerja</w:t>
      </w:r>
      <w:r>
        <w:rPr>
          <w:spacing w:val="32"/>
        </w:rPr>
        <w:t> </w:t>
      </w:r>
      <w:r>
        <w:rPr/>
        <w:t>di</w:t>
      </w:r>
      <w:r>
        <w:rPr>
          <w:spacing w:val="33"/>
        </w:rPr>
        <w:t> </w:t>
      </w:r>
      <w:r>
        <w:rPr/>
        <w:t>IKN.</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20"/>
        <w:jc w:val="left"/>
      </w:pPr>
      <w:r>
        <w:rPr/>
        <w:t>Sebagian</w:t>
      </w:r>
      <w:r>
        <w:rPr>
          <w:spacing w:val="32"/>
        </w:rPr>
        <w:t> </w:t>
      </w:r>
      <w:r>
        <w:rPr/>
        <w:t>besar</w:t>
      </w:r>
      <w:r>
        <w:rPr>
          <w:spacing w:val="32"/>
        </w:rPr>
        <w:t> </w:t>
      </w:r>
      <w:r>
        <w:rPr/>
        <w:t>masyarakatnya</w:t>
      </w:r>
      <w:r>
        <w:rPr>
          <w:spacing w:val="31"/>
        </w:rPr>
        <w:t> </w:t>
      </w:r>
      <w:r>
        <w:rPr/>
        <w:t>masih</w:t>
      </w:r>
      <w:r>
        <w:rPr>
          <w:spacing w:val="31"/>
        </w:rPr>
        <w:t> </w:t>
      </w:r>
      <w:r>
        <w:rPr/>
        <w:t>bekerja</w:t>
      </w:r>
      <w:r>
        <w:rPr>
          <w:spacing w:val="31"/>
        </w:rPr>
        <w:t> </w:t>
      </w:r>
      <w:r>
        <w:rPr/>
        <w:t>di</w:t>
      </w:r>
      <w:r>
        <w:rPr>
          <w:spacing w:val="32"/>
        </w:rPr>
        <w:t> </w:t>
      </w:r>
      <w:r>
        <w:rPr/>
        <w:t>perusahaan</w:t>
      </w:r>
      <w:r>
        <w:rPr>
          <w:spacing w:val="32"/>
        </w:rPr>
        <w:t> </w:t>
      </w:r>
      <w:r>
        <w:rPr/>
        <w:t>sawit milik PT THM.</w:t>
      </w:r>
    </w:p>
    <w:p>
      <w:pPr>
        <w:pStyle w:val="BodyText"/>
        <w:spacing w:line="360" w:lineRule="auto" w:before="3"/>
        <w:ind w:left="1276" w:right="699" w:firstLine="710"/>
      </w:pPr>
      <w:r>
        <w:rPr/>
        <w:t>Dampak sosial dari adanya pembangunan IKN belum dirasakan secara signifikan oleh masyarakat, karena posisi yang cenderung jauh dari IKN, sementara pembangunan saat ini masih berjalan</w:t>
      </w:r>
      <w:r>
        <w:rPr>
          <w:spacing w:val="-1"/>
        </w:rPr>
        <w:t> </w:t>
      </w:r>
      <w:r>
        <w:rPr/>
        <w:t>di wilayah</w:t>
      </w:r>
      <w:r>
        <w:rPr>
          <w:spacing w:val="-1"/>
        </w:rPr>
        <w:t> </w:t>
      </w:r>
      <w:r>
        <w:rPr/>
        <w:t>inti. Sebagaimana</w:t>
      </w:r>
      <w:r>
        <w:rPr>
          <w:spacing w:val="-2"/>
        </w:rPr>
        <w:t> </w:t>
      </w:r>
      <w:r>
        <w:rPr/>
        <w:t>dinyatakan</w:t>
      </w:r>
      <w:r>
        <w:rPr>
          <w:spacing w:val="-1"/>
        </w:rPr>
        <w:t> </w:t>
      </w:r>
      <w:r>
        <w:rPr/>
        <w:t>informan</w:t>
      </w:r>
      <w:r>
        <w:rPr>
          <w:spacing w:val="-1"/>
        </w:rPr>
        <w:t> </w:t>
      </w:r>
      <w:r>
        <w:rPr/>
        <w:t>dari Desa Batuah, bahwa masyarakat masih belum menunjukkan kegelisahan akan hadirnya IKN. Hal ini bisa jadi disebabkan karena masalah perpindahan</w:t>
      </w:r>
      <w:r>
        <w:rPr>
          <w:spacing w:val="-15"/>
        </w:rPr>
        <w:t> </w:t>
      </w:r>
      <w:r>
        <w:rPr/>
        <w:t>IKN</w:t>
      </w:r>
      <w:r>
        <w:rPr>
          <w:spacing w:val="-17"/>
        </w:rPr>
        <w:t> </w:t>
      </w:r>
      <w:r>
        <w:rPr/>
        <w:t>cenderung</w:t>
      </w:r>
      <w:r>
        <w:rPr>
          <w:spacing w:val="-16"/>
        </w:rPr>
        <w:t> </w:t>
      </w:r>
      <w:r>
        <w:rPr/>
        <w:t>tidak</w:t>
      </w:r>
      <w:r>
        <w:rPr>
          <w:spacing w:val="-14"/>
        </w:rPr>
        <w:t> </w:t>
      </w:r>
      <w:r>
        <w:rPr/>
        <w:t>melibatkan</w:t>
      </w:r>
      <w:r>
        <w:rPr>
          <w:spacing w:val="-11"/>
        </w:rPr>
        <w:t> </w:t>
      </w:r>
      <w:r>
        <w:rPr/>
        <w:t>masyarakat,</w:t>
      </w:r>
      <w:r>
        <w:rPr>
          <w:spacing w:val="-9"/>
        </w:rPr>
        <w:t> </w:t>
      </w:r>
      <w:r>
        <w:rPr/>
        <w:t>dan</w:t>
      </w:r>
      <w:r>
        <w:rPr>
          <w:spacing w:val="-12"/>
        </w:rPr>
        <w:t> </w:t>
      </w:r>
      <w:r>
        <w:rPr/>
        <w:t>hanya melibatkan</w:t>
      </w:r>
      <w:r>
        <w:rPr>
          <w:spacing w:val="-17"/>
        </w:rPr>
        <w:t> </w:t>
      </w:r>
      <w:r>
        <w:rPr/>
        <w:t>unsur</w:t>
      </w:r>
      <w:r>
        <w:rPr>
          <w:spacing w:val="-16"/>
        </w:rPr>
        <w:t> </w:t>
      </w:r>
      <w:r>
        <w:rPr/>
        <w:t>pemerintahan</w:t>
      </w:r>
      <w:r>
        <w:rPr>
          <w:spacing w:val="-17"/>
        </w:rPr>
        <w:t> </w:t>
      </w:r>
      <w:r>
        <w:rPr/>
        <w:t>saja.</w:t>
      </w:r>
      <w:r>
        <w:rPr>
          <w:spacing w:val="-16"/>
        </w:rPr>
        <w:t> </w:t>
      </w:r>
      <w:r>
        <w:rPr/>
        <w:t>Terkait</w:t>
      </w:r>
      <w:r>
        <w:rPr>
          <w:spacing w:val="-17"/>
        </w:rPr>
        <w:t> </w:t>
      </w:r>
      <w:r>
        <w:rPr>
          <w:i/>
        </w:rPr>
        <w:t>plotting</w:t>
      </w:r>
      <w:r>
        <w:rPr>
          <w:i/>
          <w:spacing w:val="-16"/>
        </w:rPr>
        <w:t> </w:t>
      </w:r>
      <w:r>
        <w:rPr/>
        <w:t>wilayah</w:t>
      </w:r>
      <w:r>
        <w:rPr>
          <w:spacing w:val="-17"/>
        </w:rPr>
        <w:t> </w:t>
      </w:r>
      <w:r>
        <w:rPr/>
        <w:t>dan</w:t>
      </w:r>
      <w:r>
        <w:rPr>
          <w:spacing w:val="-16"/>
        </w:rPr>
        <w:t> </w:t>
      </w:r>
      <w:r>
        <w:rPr/>
        <w:t>hal- hal lainnya tidak melibatkan masyarakat.</w:t>
      </w:r>
    </w:p>
    <w:p>
      <w:pPr>
        <w:pStyle w:val="BodyText"/>
        <w:spacing w:line="360" w:lineRule="auto" w:before="2"/>
        <w:ind w:left="1276" w:right="699" w:firstLine="710"/>
      </w:pPr>
      <w:r>
        <w:rPr/>
        <w:t>Menjadi pertanyaan bagi pemerintah Desa Batuah dan juga Kecamatan Loa Janan, bagaimana dampak terhadap administratif kependudukan masyarakat ketika separuh wilayahnya masuk menjadi wilayah IKN, sementara separuh wilayahnya tetap menjadi bagian</w:t>
      </w:r>
      <w:r>
        <w:rPr>
          <w:spacing w:val="-15"/>
        </w:rPr>
        <w:t> </w:t>
      </w:r>
      <w:r>
        <w:rPr/>
        <w:t>dari</w:t>
      </w:r>
      <w:r>
        <w:rPr>
          <w:spacing w:val="-15"/>
        </w:rPr>
        <w:t> </w:t>
      </w:r>
      <w:r>
        <w:rPr/>
        <w:t>Kabupaten</w:t>
      </w:r>
      <w:r>
        <w:rPr>
          <w:spacing w:val="-16"/>
        </w:rPr>
        <w:t> </w:t>
      </w:r>
      <w:r>
        <w:rPr/>
        <w:t>Kutai</w:t>
      </w:r>
      <w:r>
        <w:rPr>
          <w:spacing w:val="-15"/>
        </w:rPr>
        <w:t> </w:t>
      </w:r>
      <w:r>
        <w:rPr/>
        <w:t>Kartanegara.</w:t>
      </w:r>
      <w:r>
        <w:rPr>
          <w:spacing w:val="-13"/>
        </w:rPr>
        <w:t> </w:t>
      </w:r>
      <w:r>
        <w:rPr/>
        <w:t>Demikian</w:t>
      </w:r>
      <w:r>
        <w:rPr>
          <w:spacing w:val="-15"/>
        </w:rPr>
        <w:t> </w:t>
      </w:r>
      <w:r>
        <w:rPr/>
        <w:t>juga</w:t>
      </w:r>
      <w:r>
        <w:rPr>
          <w:spacing w:val="-17"/>
        </w:rPr>
        <w:t> </w:t>
      </w:r>
      <w:r>
        <w:rPr/>
        <w:t>terkaitnama desa,</w:t>
      </w:r>
      <w:r>
        <w:rPr>
          <w:spacing w:val="-13"/>
        </w:rPr>
        <w:t> </w:t>
      </w:r>
      <w:r>
        <w:rPr/>
        <w:t>apakah</w:t>
      </w:r>
      <w:r>
        <w:rPr>
          <w:spacing w:val="-14"/>
        </w:rPr>
        <w:t> </w:t>
      </w:r>
      <w:r>
        <w:rPr/>
        <w:t>Desa</w:t>
      </w:r>
      <w:r>
        <w:rPr>
          <w:spacing w:val="-15"/>
        </w:rPr>
        <w:t> </w:t>
      </w:r>
      <w:r>
        <w:rPr/>
        <w:t>Batuah</w:t>
      </w:r>
      <w:r>
        <w:rPr>
          <w:spacing w:val="-14"/>
        </w:rPr>
        <w:t> </w:t>
      </w:r>
      <w:r>
        <w:rPr/>
        <w:t>akan</w:t>
      </w:r>
      <w:r>
        <w:rPr>
          <w:spacing w:val="-14"/>
        </w:rPr>
        <w:t> </w:t>
      </w:r>
      <w:r>
        <w:rPr/>
        <w:t>tetap</w:t>
      </w:r>
      <w:r>
        <w:rPr>
          <w:spacing w:val="-15"/>
        </w:rPr>
        <w:t> </w:t>
      </w:r>
      <w:r>
        <w:rPr/>
        <w:t>menjadi</w:t>
      </w:r>
      <w:r>
        <w:rPr>
          <w:spacing w:val="-9"/>
        </w:rPr>
        <w:t> </w:t>
      </w:r>
      <w:r>
        <w:rPr/>
        <w:t>bagian</w:t>
      </w:r>
      <w:r>
        <w:rPr>
          <w:spacing w:val="-14"/>
        </w:rPr>
        <w:t> </w:t>
      </w:r>
      <w:r>
        <w:rPr/>
        <w:t>dari</w:t>
      </w:r>
      <w:r>
        <w:rPr>
          <w:spacing w:val="-10"/>
        </w:rPr>
        <w:t> </w:t>
      </w:r>
      <w:r>
        <w:rPr/>
        <w:t>Kabupaten Kutai Kartanegara, ataukah menjadi bagian dari IKN.Masalah serupa juga dipertanyakan oleh informan dari Badan Pemberdayaan Masyarakat, ketika hanya sedikit wilayah yang didelienasi IKN, sementara wilayah tersebut juga merupakan wilayah</w:t>
      </w:r>
      <w:r>
        <w:rPr>
          <w:spacing w:val="-3"/>
        </w:rPr>
        <w:t> </w:t>
      </w:r>
      <w:r>
        <w:rPr/>
        <w:t>yang tidak berpenduduk, apakah nama desa juga menjadi bagian wilayah IKN? Lalu</w:t>
      </w:r>
      <w:r>
        <w:rPr>
          <w:spacing w:val="-17"/>
        </w:rPr>
        <w:t> </w:t>
      </w:r>
      <w:r>
        <w:rPr/>
        <w:t>bagaimana</w:t>
      </w:r>
      <w:r>
        <w:rPr>
          <w:spacing w:val="-16"/>
        </w:rPr>
        <w:t> </w:t>
      </w:r>
      <w:r>
        <w:rPr/>
        <w:t>dengan</w:t>
      </w:r>
      <w:r>
        <w:rPr>
          <w:spacing w:val="-17"/>
        </w:rPr>
        <w:t> </w:t>
      </w:r>
      <w:r>
        <w:rPr/>
        <w:t>wilayah</w:t>
      </w:r>
      <w:r>
        <w:rPr>
          <w:spacing w:val="-16"/>
        </w:rPr>
        <w:t> </w:t>
      </w:r>
      <w:r>
        <w:rPr/>
        <w:t>desa</w:t>
      </w:r>
      <w:r>
        <w:rPr>
          <w:spacing w:val="-17"/>
        </w:rPr>
        <w:t> </w:t>
      </w:r>
      <w:r>
        <w:rPr/>
        <w:t>yang</w:t>
      </w:r>
      <w:r>
        <w:rPr>
          <w:spacing w:val="-16"/>
        </w:rPr>
        <w:t> </w:t>
      </w:r>
      <w:r>
        <w:rPr/>
        <w:t>tidak</w:t>
      </w:r>
      <w:r>
        <w:rPr>
          <w:spacing w:val="-17"/>
        </w:rPr>
        <w:t> </w:t>
      </w:r>
      <w:r>
        <w:rPr/>
        <w:t>terdelienasi?</w:t>
      </w:r>
      <w:r>
        <w:rPr>
          <w:spacing w:val="-16"/>
        </w:rPr>
        <w:t> </w:t>
      </w:r>
      <w:r>
        <w:rPr/>
        <w:t>Apakah akan ada dua nama desa yang sama di wilayah</w:t>
      </w:r>
      <w:r>
        <w:rPr>
          <w:spacing w:val="-16"/>
        </w:rPr>
        <w:t> </w:t>
      </w:r>
      <w:r>
        <w:rPr/>
        <w:t>yang berbeda? Pengambilan wilayah yang tidak utuh akan berdampak pada perubahan regulasi pada wilayah-wilayah tersebut, baik yang ditinggalkan maupun yang terdelienasi.</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698" w:firstLine="710"/>
      </w:pPr>
      <w:r>
        <w:rPr/>
        <w:t>Berbeda</w:t>
      </w:r>
      <w:r>
        <w:rPr>
          <w:spacing w:val="-17"/>
        </w:rPr>
        <w:t> </w:t>
      </w:r>
      <w:r>
        <w:rPr/>
        <w:t>dengan</w:t>
      </w:r>
      <w:r>
        <w:rPr>
          <w:spacing w:val="-16"/>
        </w:rPr>
        <w:t> </w:t>
      </w:r>
      <w:r>
        <w:rPr/>
        <w:t>desa</w:t>
      </w:r>
      <w:r>
        <w:rPr>
          <w:spacing w:val="-17"/>
        </w:rPr>
        <w:t> </w:t>
      </w:r>
      <w:r>
        <w:rPr/>
        <w:t>lain</w:t>
      </w:r>
      <w:r>
        <w:rPr>
          <w:spacing w:val="-16"/>
        </w:rPr>
        <w:t> </w:t>
      </w:r>
      <w:r>
        <w:rPr/>
        <w:t>yang</w:t>
      </w:r>
      <w:r>
        <w:rPr>
          <w:spacing w:val="-17"/>
        </w:rPr>
        <w:t> </w:t>
      </w:r>
      <w:r>
        <w:rPr/>
        <w:t>belum</w:t>
      </w:r>
      <w:r>
        <w:rPr>
          <w:spacing w:val="-16"/>
        </w:rPr>
        <w:t> </w:t>
      </w:r>
      <w:r>
        <w:rPr/>
        <w:t>merasakan</w:t>
      </w:r>
      <w:r>
        <w:rPr>
          <w:spacing w:val="-17"/>
        </w:rPr>
        <w:t> </w:t>
      </w:r>
      <w:r>
        <w:rPr/>
        <w:t>dampak</w:t>
      </w:r>
      <w:r>
        <w:rPr>
          <w:spacing w:val="-16"/>
        </w:rPr>
        <w:t> </w:t>
      </w:r>
      <w:r>
        <w:rPr/>
        <w:t>dari adanya IKN, Kepala Desa Loa Duri Ilir menyatakan bahwa di wilayahnya telah terjadi pertambahan penduduk dari luar daerah sejak adanya IKN. Pendatang tersebut berasal dari Jawa, Sulawesi, Toraja, Madura, dan lain-lain. Pendatang tersebut memiliki tujuan untuk memperoleh domisili di wilayah penyangga IKN, sehingga ketika IKN sudah berjalan, mereka memiliki kesempatan untuk turut dikembangkan, sebagai warga di daerah penyangga. Adanya IKN serta masuknya pendatang membawa kekhawatiran tersendiri bagi kepala desa loa duri ilir, sebab mayoritas warganya memiliki pendidikan hanya tamat SMP. Sementara pendatang minimal memiliki ijazah SMA. Ada kekhawatiran bahwa penduduk asli akan kalah bersaing dalam memperoleh pekerjaan yang memang mengutamakan kriteria pendidikan. Kekhawatiran muncul, sebab tidak ada tertulis dalam undang undang otorita, bahwa tenaga kerja pada zona zona utama (ring 1, 2, 3) memberikan prioritas pada penduduk asli. Menjadi harapan bahwa akan ada prioritas untuk merekrut tenaga kerja dari penduduk asli.</w:t>
      </w:r>
    </w:p>
    <w:p>
      <w:pPr>
        <w:pStyle w:val="BodyText"/>
        <w:spacing w:line="360" w:lineRule="auto" w:before="4"/>
        <w:ind w:left="1276" w:right="700" w:firstLine="710"/>
      </w:pPr>
      <w:r>
        <w:rPr/>
        <w:t>Selain itu, dampak pembangunan IKN dikhwatirkan dapat berdampak</w:t>
      </w:r>
      <w:r>
        <w:rPr>
          <w:spacing w:val="-17"/>
        </w:rPr>
        <w:t> </w:t>
      </w:r>
      <w:r>
        <w:rPr/>
        <w:t>secara</w:t>
      </w:r>
      <w:r>
        <w:rPr>
          <w:spacing w:val="-16"/>
        </w:rPr>
        <w:t> </w:t>
      </w:r>
      <w:r>
        <w:rPr/>
        <w:t>sosial</w:t>
      </w:r>
      <w:r>
        <w:rPr>
          <w:spacing w:val="-17"/>
        </w:rPr>
        <w:t> </w:t>
      </w:r>
      <w:r>
        <w:rPr/>
        <w:t>terkait</w:t>
      </w:r>
      <w:r>
        <w:rPr>
          <w:spacing w:val="-16"/>
        </w:rPr>
        <w:t> </w:t>
      </w:r>
      <w:r>
        <w:rPr/>
        <w:t>masuknya</w:t>
      </w:r>
      <w:r>
        <w:rPr>
          <w:spacing w:val="-17"/>
        </w:rPr>
        <w:t> </w:t>
      </w:r>
      <w:r>
        <w:rPr/>
        <w:t>pengaruh</w:t>
      </w:r>
      <w:r>
        <w:rPr>
          <w:spacing w:val="-16"/>
        </w:rPr>
        <w:t> </w:t>
      </w:r>
      <w:r>
        <w:rPr/>
        <w:t>budaya</w:t>
      </w:r>
      <w:r>
        <w:rPr>
          <w:spacing w:val="-17"/>
        </w:rPr>
        <w:t> </w:t>
      </w:r>
      <w:r>
        <w:rPr/>
        <w:t>maupun ajaran agama yang dapat merubah keyakinan masyarakat. Hal ini dilontarkan</w:t>
      </w:r>
      <w:r>
        <w:rPr>
          <w:spacing w:val="-15"/>
        </w:rPr>
        <w:t> </w:t>
      </w:r>
      <w:r>
        <w:rPr/>
        <w:t>oleh</w:t>
      </w:r>
      <w:r>
        <w:rPr>
          <w:spacing w:val="-16"/>
        </w:rPr>
        <w:t> </w:t>
      </w:r>
      <w:r>
        <w:rPr/>
        <w:t>Camat</w:t>
      </w:r>
      <w:r>
        <w:rPr>
          <w:spacing w:val="-15"/>
        </w:rPr>
        <w:t> </w:t>
      </w:r>
      <w:r>
        <w:rPr/>
        <w:t>Loa</w:t>
      </w:r>
      <w:r>
        <w:rPr>
          <w:spacing w:val="-16"/>
        </w:rPr>
        <w:t> </w:t>
      </w:r>
      <w:r>
        <w:rPr/>
        <w:t>Kulu</w:t>
      </w:r>
      <w:r>
        <w:rPr>
          <w:spacing w:val="-17"/>
        </w:rPr>
        <w:t> </w:t>
      </w:r>
      <w:r>
        <w:rPr/>
        <w:t>(Wawancara</w:t>
      </w:r>
      <w:r>
        <w:rPr>
          <w:spacing w:val="-15"/>
        </w:rPr>
        <w:t> </w:t>
      </w:r>
      <w:r>
        <w:rPr/>
        <w:t>26</w:t>
      </w:r>
      <w:r>
        <w:rPr>
          <w:spacing w:val="-14"/>
        </w:rPr>
        <w:t> </w:t>
      </w:r>
      <w:r>
        <w:rPr/>
        <w:t>Oktober</w:t>
      </w:r>
      <w:r>
        <w:rPr>
          <w:spacing w:val="-15"/>
        </w:rPr>
        <w:t> </w:t>
      </w:r>
      <w:r>
        <w:rPr/>
        <w:t>2023).</w:t>
      </w:r>
      <w:r>
        <w:rPr>
          <w:spacing w:val="-17"/>
        </w:rPr>
        <w:t> </w:t>
      </w:r>
      <w:r>
        <w:rPr/>
        <w:t>Oleh karena</w:t>
      </w:r>
      <w:r>
        <w:rPr>
          <w:spacing w:val="-15"/>
        </w:rPr>
        <w:t> </w:t>
      </w:r>
      <w:r>
        <w:rPr/>
        <w:t>itu,</w:t>
      </w:r>
      <w:r>
        <w:rPr>
          <w:spacing w:val="-13"/>
        </w:rPr>
        <w:t> </w:t>
      </w:r>
      <w:r>
        <w:rPr/>
        <w:t>perlu</w:t>
      </w:r>
      <w:r>
        <w:rPr>
          <w:spacing w:val="-10"/>
        </w:rPr>
        <w:t> </w:t>
      </w:r>
      <w:r>
        <w:rPr/>
        <w:t>ada</w:t>
      </w:r>
      <w:r>
        <w:rPr>
          <w:spacing w:val="-11"/>
        </w:rPr>
        <w:t> </w:t>
      </w:r>
      <w:r>
        <w:rPr/>
        <w:t>perhatian</w:t>
      </w:r>
      <w:r>
        <w:rPr>
          <w:spacing w:val="-14"/>
        </w:rPr>
        <w:t> </w:t>
      </w:r>
      <w:r>
        <w:rPr/>
        <w:t>terhadap</w:t>
      </w:r>
      <w:r>
        <w:rPr>
          <w:spacing w:val="-14"/>
        </w:rPr>
        <w:t> </w:t>
      </w:r>
      <w:r>
        <w:rPr/>
        <w:t>penyelenggaraan</w:t>
      </w:r>
      <w:r>
        <w:rPr>
          <w:spacing w:val="-13"/>
        </w:rPr>
        <w:t> </w:t>
      </w:r>
      <w:r>
        <w:rPr/>
        <w:t>ketertiban masyarakat agar tidak terjadi konflik di masyarakat.</w:t>
      </w:r>
    </w:p>
    <w:p>
      <w:pPr>
        <w:pStyle w:val="BodyText"/>
        <w:spacing w:line="360" w:lineRule="auto" w:before="3"/>
        <w:ind w:left="1276" w:right="699" w:firstLine="710"/>
      </w:pPr>
      <w:r>
        <w:rPr/>
        <w:t>Perubahan sosial juga dapat terjadi terkait bentuk mata pencaharian.</w:t>
      </w:r>
      <w:r>
        <w:rPr>
          <w:spacing w:val="-1"/>
        </w:rPr>
        <w:t> </w:t>
      </w:r>
      <w:r>
        <w:rPr/>
        <w:t>Kepala</w:t>
      </w:r>
      <w:r>
        <w:rPr>
          <w:spacing w:val="-4"/>
        </w:rPr>
        <w:t> </w:t>
      </w:r>
      <w:r>
        <w:rPr/>
        <w:t>Desa</w:t>
      </w:r>
      <w:r>
        <w:rPr>
          <w:spacing w:val="-4"/>
        </w:rPr>
        <w:t> </w:t>
      </w:r>
      <w:r>
        <w:rPr/>
        <w:t>Jonggon</w:t>
      </w:r>
      <w:r>
        <w:rPr>
          <w:spacing w:val="-3"/>
        </w:rPr>
        <w:t> </w:t>
      </w:r>
      <w:r>
        <w:rPr/>
        <w:t>menyampaikan</w:t>
      </w:r>
      <w:r>
        <w:rPr>
          <w:spacing w:val="-3"/>
        </w:rPr>
        <w:t> </w:t>
      </w:r>
      <w:r>
        <w:rPr/>
        <w:t>bahwa</w:t>
      </w:r>
      <w:r>
        <w:rPr>
          <w:spacing w:val="-4"/>
        </w:rPr>
        <w:t> </w:t>
      </w:r>
      <w:r>
        <w:rPr/>
        <w:t>hilangnya sebagian besar lahan di wilayahnya, yang selama ini digunakan sebagai</w:t>
      </w:r>
      <w:r>
        <w:rPr>
          <w:spacing w:val="40"/>
        </w:rPr>
        <w:t> </w:t>
      </w:r>
      <w:r>
        <w:rPr/>
        <w:t>tempat</w:t>
      </w:r>
      <w:r>
        <w:rPr>
          <w:spacing w:val="40"/>
        </w:rPr>
        <w:t> </w:t>
      </w:r>
      <w:r>
        <w:rPr/>
        <w:t>mata</w:t>
      </w:r>
      <w:r>
        <w:rPr>
          <w:spacing w:val="38"/>
        </w:rPr>
        <w:t> </w:t>
      </w:r>
      <w:r>
        <w:rPr/>
        <w:t>pencaharian</w:t>
      </w:r>
      <w:r>
        <w:rPr>
          <w:spacing w:val="40"/>
        </w:rPr>
        <w:t> </w:t>
      </w:r>
      <w:r>
        <w:rPr/>
        <w:t>(Hutan</w:t>
      </w:r>
      <w:r>
        <w:rPr>
          <w:spacing w:val="40"/>
        </w:rPr>
        <w:t> </w:t>
      </w:r>
      <w:r>
        <w:rPr/>
        <w:t>Tanaman</w:t>
      </w:r>
      <w:r>
        <w:rPr>
          <w:spacing w:val="40"/>
        </w:rPr>
        <w:t> </w:t>
      </w:r>
      <w:r>
        <w:rPr/>
        <w:t>Industri)</w:t>
      </w:r>
      <w:r>
        <w:rPr>
          <w:spacing w:val="40"/>
        </w:rPr>
        <w:t> </w:t>
      </w:r>
      <w:r>
        <w:rPr/>
        <w:t>akan</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5"/>
      </w:pPr>
      <w:r>
        <w:rPr/>
        <w:t>berdampak kepada kesulitan masyarakat melakukan kegiatan pekerjaan di sektor hutan tanaman industri tersebut. Sebab, lahan yang</w:t>
      </w:r>
      <w:r>
        <w:rPr>
          <w:spacing w:val="-9"/>
        </w:rPr>
        <w:t> </w:t>
      </w:r>
      <w:r>
        <w:rPr/>
        <w:t>ada</w:t>
      </w:r>
      <w:r>
        <w:rPr>
          <w:spacing w:val="-9"/>
        </w:rPr>
        <w:t> </w:t>
      </w:r>
      <w:r>
        <w:rPr/>
        <w:t>sudah</w:t>
      </w:r>
      <w:r>
        <w:rPr>
          <w:spacing w:val="-8"/>
        </w:rPr>
        <w:t> </w:t>
      </w:r>
      <w:r>
        <w:rPr/>
        <w:t>habis.</w:t>
      </w:r>
      <w:r>
        <w:rPr>
          <w:spacing w:val="-6"/>
        </w:rPr>
        <w:t> </w:t>
      </w:r>
      <w:r>
        <w:rPr/>
        <w:t>Sebagaimana</w:t>
      </w:r>
      <w:r>
        <w:rPr>
          <w:spacing w:val="-8"/>
        </w:rPr>
        <w:t> </w:t>
      </w:r>
      <w:r>
        <w:rPr/>
        <w:t>disampaikan</w:t>
      </w:r>
      <w:r>
        <w:rPr>
          <w:spacing w:val="-7"/>
        </w:rPr>
        <w:t> </w:t>
      </w:r>
      <w:r>
        <w:rPr/>
        <w:t>juga</w:t>
      </w:r>
      <w:r>
        <w:rPr>
          <w:spacing w:val="-9"/>
        </w:rPr>
        <w:t> </w:t>
      </w:r>
      <w:r>
        <w:rPr/>
        <w:t>bahwa</w:t>
      </w:r>
      <w:r>
        <w:rPr>
          <w:spacing w:val="-9"/>
        </w:rPr>
        <w:t> </w:t>
      </w:r>
      <w:r>
        <w:rPr/>
        <w:t>sistem bekerja di lahan hutan tanaman industri membuat masyarakat biasa bekerja</w:t>
      </w:r>
      <w:r>
        <w:rPr>
          <w:spacing w:val="-17"/>
        </w:rPr>
        <w:t> </w:t>
      </w:r>
      <w:r>
        <w:rPr/>
        <w:t>berpindah-pindah</w:t>
      </w:r>
      <w:r>
        <w:rPr>
          <w:spacing w:val="-16"/>
        </w:rPr>
        <w:t> </w:t>
      </w:r>
      <w:r>
        <w:rPr/>
        <w:t>lahan.</w:t>
      </w:r>
      <w:r>
        <w:rPr>
          <w:spacing w:val="-17"/>
        </w:rPr>
        <w:t> </w:t>
      </w:r>
      <w:r>
        <w:rPr/>
        <w:t>Setiap</w:t>
      </w:r>
      <w:r>
        <w:rPr>
          <w:spacing w:val="-16"/>
        </w:rPr>
        <w:t> </w:t>
      </w:r>
      <w:r>
        <w:rPr/>
        <w:t>5</w:t>
      </w:r>
      <w:r>
        <w:rPr>
          <w:spacing w:val="-17"/>
        </w:rPr>
        <w:t> </w:t>
      </w:r>
      <w:r>
        <w:rPr/>
        <w:t>tahun</w:t>
      </w:r>
      <w:r>
        <w:rPr>
          <w:spacing w:val="-16"/>
        </w:rPr>
        <w:t> </w:t>
      </w:r>
      <w:r>
        <w:rPr/>
        <w:t>mereka</w:t>
      </w:r>
      <w:r>
        <w:rPr>
          <w:spacing w:val="-17"/>
        </w:rPr>
        <w:t> </w:t>
      </w:r>
      <w:r>
        <w:rPr/>
        <w:t>akan</w:t>
      </w:r>
      <w:r>
        <w:rPr>
          <w:spacing w:val="-16"/>
        </w:rPr>
        <w:t> </w:t>
      </w:r>
      <w:r>
        <w:rPr/>
        <w:t>kembali bekerja pada lahan awal (Siklus 5 tahunan).</w:t>
      </w:r>
    </w:p>
    <w:p>
      <w:pPr>
        <w:pStyle w:val="BodyText"/>
        <w:spacing w:line="360" w:lineRule="auto" w:before="3"/>
        <w:ind w:left="1276" w:right="705" w:firstLine="710"/>
      </w:pPr>
      <w:r>
        <w:rPr/>
        <w:t>Kesulitan yang sama dikhawatirkan akan terjadi juga di Desa Sungai Payang (Wawancara dengan Kepala Desa Sungai Payang, 26 Oktober 2023). Nasib petani Desa Payang yang lokasi tanahnya diambil IKN perlu dipikirkan ke depannya. Perlu dicarikan solusi terhadap masyarakat terdampak. Bisa saja terjadi perubahan jenis pekerjaan di masyarakat Desa Payang. Untuk ini perlu diberikan pelatihan kepada masyarakat dengan memilih jenis pekerjaan yang disesuikan nantinya dengan jenis pelatihan untuk menambah </w:t>
      </w:r>
      <w:r>
        <w:rPr>
          <w:spacing w:val="-2"/>
        </w:rPr>
        <w:t>kompetensinya.</w:t>
      </w:r>
    </w:p>
    <w:p>
      <w:pPr>
        <w:pStyle w:val="BodyText"/>
        <w:spacing w:line="360" w:lineRule="auto" w:before="2"/>
        <w:ind w:left="1276" w:right="699" w:firstLine="710"/>
      </w:pPr>
      <w:r>
        <w:rPr/>
        <w:t>Masuknya pendatang ke Kabupaten Kutai Kartanegara akibat pembangunan IKN dikhawatirkan juga akan menciptakan mafia tanah</w:t>
      </w:r>
      <w:r>
        <w:rPr>
          <w:spacing w:val="-17"/>
        </w:rPr>
        <w:t> </w:t>
      </w:r>
      <w:r>
        <w:rPr/>
        <w:t>dan</w:t>
      </w:r>
      <w:r>
        <w:rPr>
          <w:spacing w:val="-16"/>
        </w:rPr>
        <w:t> </w:t>
      </w:r>
      <w:r>
        <w:rPr/>
        <w:t>premanisme.</w:t>
      </w:r>
      <w:r>
        <w:rPr>
          <w:spacing w:val="-17"/>
        </w:rPr>
        <w:t> </w:t>
      </w:r>
      <w:r>
        <w:rPr/>
        <w:t>Hal</w:t>
      </w:r>
      <w:r>
        <w:rPr>
          <w:spacing w:val="-16"/>
        </w:rPr>
        <w:t> </w:t>
      </w:r>
      <w:r>
        <w:rPr/>
        <w:t>ini</w:t>
      </w:r>
      <w:r>
        <w:rPr>
          <w:spacing w:val="-17"/>
        </w:rPr>
        <w:t> </w:t>
      </w:r>
      <w:r>
        <w:rPr/>
        <w:t>dikemukakan</w:t>
      </w:r>
      <w:r>
        <w:rPr>
          <w:spacing w:val="-16"/>
        </w:rPr>
        <w:t> </w:t>
      </w:r>
      <w:r>
        <w:rPr/>
        <w:t>oleh</w:t>
      </w:r>
      <w:r>
        <w:rPr>
          <w:spacing w:val="-17"/>
        </w:rPr>
        <w:t> </w:t>
      </w:r>
      <w:r>
        <w:rPr/>
        <w:t>Kepala</w:t>
      </w:r>
      <w:r>
        <w:rPr>
          <w:spacing w:val="-16"/>
        </w:rPr>
        <w:t> </w:t>
      </w:r>
      <w:r>
        <w:rPr/>
        <w:t>Desa</w:t>
      </w:r>
      <w:r>
        <w:rPr>
          <w:spacing w:val="-16"/>
        </w:rPr>
        <w:t> </w:t>
      </w:r>
      <w:r>
        <w:rPr/>
        <w:t>Sungai Payang.</w:t>
      </w:r>
      <w:r>
        <w:rPr>
          <w:spacing w:val="-2"/>
        </w:rPr>
        <w:t> </w:t>
      </w:r>
      <w:r>
        <w:rPr/>
        <w:t>Soal</w:t>
      </w:r>
      <w:r>
        <w:rPr>
          <w:spacing w:val="-3"/>
        </w:rPr>
        <w:t> </w:t>
      </w:r>
      <w:r>
        <w:rPr/>
        <w:t>tanah, saat ini</w:t>
      </w:r>
      <w:r>
        <w:rPr>
          <w:spacing w:val="-3"/>
        </w:rPr>
        <w:t> </w:t>
      </w:r>
      <w:r>
        <w:rPr/>
        <w:t>banyak</w:t>
      </w:r>
      <w:r>
        <w:rPr>
          <w:spacing w:val="-2"/>
        </w:rPr>
        <w:t> </w:t>
      </w:r>
      <w:r>
        <w:rPr/>
        <w:t>terjadi</w:t>
      </w:r>
      <w:r>
        <w:rPr>
          <w:spacing w:val="-3"/>
        </w:rPr>
        <w:t> </w:t>
      </w:r>
      <w:r>
        <w:rPr/>
        <w:t>kasus</w:t>
      </w:r>
      <w:r>
        <w:rPr>
          <w:spacing w:val="-3"/>
        </w:rPr>
        <w:t> </w:t>
      </w:r>
      <w:r>
        <w:rPr/>
        <w:t>sengketa</w:t>
      </w:r>
      <w:r>
        <w:rPr>
          <w:spacing w:val="-4"/>
        </w:rPr>
        <w:t> </w:t>
      </w:r>
      <w:r>
        <w:rPr/>
        <w:t>tanah.</w:t>
      </w:r>
      <w:r>
        <w:rPr>
          <w:spacing w:val="-2"/>
        </w:rPr>
        <w:t> </w:t>
      </w:r>
      <w:r>
        <w:rPr/>
        <w:t>Hal ini disebabkan karena status kepemilikan surat tanah berupa kertas segel, bukan sertifikat. Harga tanah yang melambung tinggi selain menimbulkan dampak positif bagi masyarakat juga menimbulkan dampak negatif. Dampak negatifnya permasalahan hukum menjadi meningkat dan kemampuan masyarakat terdampak IKN untuk membeli</w:t>
      </w:r>
      <w:r>
        <w:rPr>
          <w:spacing w:val="-6"/>
        </w:rPr>
        <w:t> </w:t>
      </w:r>
      <w:r>
        <w:rPr/>
        <w:t>tanah</w:t>
      </w:r>
      <w:r>
        <w:rPr>
          <w:spacing w:val="-6"/>
        </w:rPr>
        <w:t> </w:t>
      </w:r>
      <w:r>
        <w:rPr/>
        <w:t>baru</w:t>
      </w:r>
      <w:r>
        <w:rPr>
          <w:spacing w:val="-6"/>
        </w:rPr>
        <w:t> </w:t>
      </w:r>
      <w:r>
        <w:rPr/>
        <w:t>menjadi</w:t>
      </w:r>
      <w:r>
        <w:rPr>
          <w:spacing w:val="-5"/>
        </w:rPr>
        <w:t> </w:t>
      </w:r>
      <w:r>
        <w:rPr/>
        <w:t>tidak</w:t>
      </w:r>
      <w:r>
        <w:rPr>
          <w:spacing w:val="-4"/>
        </w:rPr>
        <w:t> </w:t>
      </w:r>
      <w:r>
        <w:rPr/>
        <w:t>ada.</w:t>
      </w:r>
      <w:r>
        <w:rPr>
          <w:spacing w:val="-4"/>
        </w:rPr>
        <w:t> </w:t>
      </w:r>
      <w:r>
        <w:rPr/>
        <w:t>Hal</w:t>
      </w:r>
      <w:r>
        <w:rPr>
          <w:spacing w:val="-5"/>
        </w:rPr>
        <w:t> </w:t>
      </w:r>
      <w:r>
        <w:rPr/>
        <w:t>ini</w:t>
      </w:r>
      <w:r>
        <w:rPr>
          <w:spacing w:val="-2"/>
        </w:rPr>
        <w:t> </w:t>
      </w:r>
      <w:r>
        <w:rPr/>
        <w:t>dapat</w:t>
      </w:r>
      <w:r>
        <w:rPr>
          <w:spacing w:val="-4"/>
        </w:rPr>
        <w:t> </w:t>
      </w:r>
      <w:r>
        <w:rPr/>
        <w:t>mengakibatkan masyarakat tersebut tercerabut dari tempat asalnya. Ada banyak penduduk yang tercerabut dari tanah di IKN sudah sejak lahir mendiami</w:t>
      </w:r>
      <w:r>
        <w:rPr>
          <w:spacing w:val="29"/>
        </w:rPr>
        <w:t> </w:t>
      </w:r>
      <w:r>
        <w:rPr/>
        <w:t>tanah</w:t>
      </w:r>
      <w:r>
        <w:rPr>
          <w:spacing w:val="29"/>
        </w:rPr>
        <w:t> </w:t>
      </w:r>
      <w:r>
        <w:rPr/>
        <w:t>tersebut.</w:t>
      </w:r>
      <w:r>
        <w:rPr>
          <w:spacing w:val="31"/>
        </w:rPr>
        <w:t> </w:t>
      </w:r>
      <w:r>
        <w:rPr/>
        <w:t>Dengan</w:t>
      </w:r>
      <w:r>
        <w:rPr>
          <w:spacing w:val="29"/>
        </w:rPr>
        <w:t> </w:t>
      </w:r>
      <w:r>
        <w:rPr/>
        <w:t>harga</w:t>
      </w:r>
      <w:r>
        <w:rPr>
          <w:spacing w:val="29"/>
        </w:rPr>
        <w:t> </w:t>
      </w:r>
      <w:r>
        <w:rPr/>
        <w:t>jual</w:t>
      </w:r>
      <w:r>
        <w:rPr>
          <w:spacing w:val="33"/>
        </w:rPr>
        <w:t> </w:t>
      </w:r>
      <w:r>
        <w:rPr/>
        <w:t>tanah</w:t>
      </w:r>
      <w:r>
        <w:rPr>
          <w:spacing w:val="29"/>
        </w:rPr>
        <w:t> </w:t>
      </w:r>
      <w:r>
        <w:rPr/>
        <w:t>ke</w:t>
      </w:r>
      <w:r>
        <w:rPr>
          <w:spacing w:val="29"/>
        </w:rPr>
        <w:t> </w:t>
      </w:r>
      <w:r>
        <w:rPr/>
        <w:t>Pemerintah</w:t>
      </w:r>
    </w:p>
    <w:p>
      <w:pPr>
        <w:pStyle w:val="BodyText"/>
        <w:spacing w:after="0" w:line="360" w:lineRule="auto"/>
        <w:sectPr>
          <w:pgSz w:w="11910" w:h="16840"/>
          <w:pgMar w:header="0" w:footer="1186" w:top="1580" w:bottom="1380" w:left="1700" w:right="992"/>
        </w:sectPr>
      </w:pPr>
    </w:p>
    <w:p>
      <w:pPr>
        <w:pStyle w:val="BodyText"/>
        <w:spacing w:line="360" w:lineRule="auto" w:before="82"/>
        <w:ind w:left="1301" w:right="694" w:firstLine="9"/>
        <w:jc w:val="right"/>
      </w:pPr>
      <w:r>
        <w:rPr>
          <w:spacing w:val="-2"/>
        </w:rPr>
        <w:t>yang</w:t>
      </w:r>
      <w:r>
        <w:rPr>
          <w:spacing w:val="-9"/>
        </w:rPr>
        <w:t> </w:t>
      </w:r>
      <w:r>
        <w:rPr>
          <w:spacing w:val="-2"/>
        </w:rPr>
        <w:t>tidak</w:t>
      </w:r>
      <w:r>
        <w:rPr>
          <w:spacing w:val="-13"/>
        </w:rPr>
        <w:t> </w:t>
      </w:r>
      <w:r>
        <w:rPr>
          <w:spacing w:val="-2"/>
        </w:rPr>
        <w:t>sebanding</w:t>
      </w:r>
      <w:r>
        <w:rPr>
          <w:spacing w:val="-9"/>
        </w:rPr>
        <w:t> </w:t>
      </w:r>
      <w:r>
        <w:rPr>
          <w:spacing w:val="-2"/>
        </w:rPr>
        <w:t>dengan</w:t>
      </w:r>
      <w:r>
        <w:rPr>
          <w:spacing w:val="-8"/>
        </w:rPr>
        <w:t> </w:t>
      </w:r>
      <w:r>
        <w:rPr>
          <w:spacing w:val="-2"/>
        </w:rPr>
        <w:t>perkembangan</w:t>
      </w:r>
      <w:r>
        <w:rPr>
          <w:spacing w:val="-8"/>
        </w:rPr>
        <w:t> </w:t>
      </w:r>
      <w:r>
        <w:rPr>
          <w:spacing w:val="-2"/>
        </w:rPr>
        <w:t>harga</w:t>
      </w:r>
      <w:r>
        <w:rPr>
          <w:spacing w:val="-14"/>
        </w:rPr>
        <w:t> </w:t>
      </w:r>
      <w:r>
        <w:rPr>
          <w:spacing w:val="-2"/>
        </w:rPr>
        <w:t>tanah</w:t>
      </w:r>
      <w:r>
        <w:rPr>
          <w:spacing w:val="-9"/>
        </w:rPr>
        <w:t> </w:t>
      </w:r>
      <w:r>
        <w:rPr>
          <w:spacing w:val="-2"/>
        </w:rPr>
        <w:t>di</w:t>
      </w:r>
      <w:r>
        <w:rPr>
          <w:spacing w:val="-8"/>
        </w:rPr>
        <w:t> </w:t>
      </w:r>
      <w:r>
        <w:rPr>
          <w:spacing w:val="-2"/>
        </w:rPr>
        <w:t>luar</w:t>
      </w:r>
      <w:r>
        <w:rPr>
          <w:spacing w:val="-9"/>
        </w:rPr>
        <w:t> </w:t>
      </w:r>
      <w:r>
        <w:rPr>
          <w:spacing w:val="-2"/>
        </w:rPr>
        <w:t>IKN, </w:t>
      </w:r>
      <w:r>
        <w:rPr/>
        <w:t>mereka</w:t>
      </w:r>
      <w:r>
        <w:rPr>
          <w:spacing w:val="-15"/>
        </w:rPr>
        <w:t> </w:t>
      </w:r>
      <w:r>
        <w:rPr/>
        <w:t>dipastikan</w:t>
      </w:r>
      <w:r>
        <w:rPr>
          <w:spacing w:val="-13"/>
        </w:rPr>
        <w:t> </w:t>
      </w:r>
      <w:r>
        <w:rPr/>
        <w:t>tidak</w:t>
      </w:r>
      <w:r>
        <w:rPr>
          <w:spacing w:val="-12"/>
        </w:rPr>
        <w:t> </w:t>
      </w:r>
      <w:r>
        <w:rPr/>
        <w:t>akan</w:t>
      </w:r>
      <w:r>
        <w:rPr>
          <w:spacing w:val="-17"/>
        </w:rPr>
        <w:t> </w:t>
      </w:r>
      <w:r>
        <w:rPr/>
        <w:t>mampu</w:t>
      </w:r>
      <w:r>
        <w:rPr>
          <w:spacing w:val="-13"/>
        </w:rPr>
        <w:t> </w:t>
      </w:r>
      <w:r>
        <w:rPr/>
        <w:t>bertahan</w:t>
      </w:r>
      <w:r>
        <w:rPr>
          <w:spacing w:val="-13"/>
        </w:rPr>
        <w:t> </w:t>
      </w:r>
      <w:r>
        <w:rPr/>
        <w:t>tinggal</w:t>
      </w:r>
      <w:r>
        <w:rPr>
          <w:spacing w:val="-13"/>
        </w:rPr>
        <w:t> </w:t>
      </w:r>
      <w:r>
        <w:rPr/>
        <w:t>di</w:t>
      </w:r>
      <w:r>
        <w:rPr>
          <w:spacing w:val="-13"/>
        </w:rPr>
        <w:t> </w:t>
      </w:r>
      <w:r>
        <w:rPr/>
        <w:t>sekitar</w:t>
      </w:r>
      <w:r>
        <w:rPr>
          <w:spacing w:val="-14"/>
        </w:rPr>
        <w:t> </w:t>
      </w:r>
      <w:r>
        <w:rPr/>
        <w:t>IKN. Dalam observasi yang dilakukan di Kecamatan Samboja pada tanggal</w:t>
      </w:r>
      <w:r>
        <w:rPr>
          <w:spacing w:val="-17"/>
        </w:rPr>
        <w:t> </w:t>
      </w:r>
      <w:r>
        <w:rPr/>
        <w:t>26</w:t>
      </w:r>
      <w:r>
        <w:rPr>
          <w:spacing w:val="-16"/>
        </w:rPr>
        <w:t> </w:t>
      </w:r>
      <w:r>
        <w:rPr/>
        <w:t>Oktober</w:t>
      </w:r>
      <w:r>
        <w:rPr>
          <w:spacing w:val="-17"/>
        </w:rPr>
        <w:t> </w:t>
      </w:r>
      <w:r>
        <w:rPr/>
        <w:t>2023,</w:t>
      </w:r>
      <w:r>
        <w:rPr>
          <w:spacing w:val="-16"/>
        </w:rPr>
        <w:t> </w:t>
      </w:r>
      <w:r>
        <w:rPr/>
        <w:t>tampak</w:t>
      </w:r>
      <w:r>
        <w:rPr>
          <w:spacing w:val="-17"/>
        </w:rPr>
        <w:t> </w:t>
      </w:r>
      <w:r>
        <w:rPr/>
        <w:t>banyak</w:t>
      </w:r>
      <w:r>
        <w:rPr>
          <w:spacing w:val="-16"/>
        </w:rPr>
        <w:t> </w:t>
      </w:r>
      <w:r>
        <w:rPr/>
        <w:t>sekali</w:t>
      </w:r>
      <w:r>
        <w:rPr>
          <w:spacing w:val="-16"/>
        </w:rPr>
        <w:t> </w:t>
      </w:r>
      <w:r>
        <w:rPr/>
        <w:t>papan</w:t>
      </w:r>
      <w:r>
        <w:rPr>
          <w:spacing w:val="-14"/>
        </w:rPr>
        <w:t> </w:t>
      </w:r>
      <w:r>
        <w:rPr/>
        <w:t>pengumuman di</w:t>
      </w:r>
      <w:r>
        <w:rPr>
          <w:spacing w:val="40"/>
        </w:rPr>
        <w:t> </w:t>
      </w:r>
      <w:r>
        <w:rPr/>
        <w:t>sepanjang</w:t>
      </w:r>
      <w:r>
        <w:rPr>
          <w:spacing w:val="40"/>
        </w:rPr>
        <w:t> </w:t>
      </w:r>
      <w:r>
        <w:rPr/>
        <w:t>jalan</w:t>
      </w:r>
      <w:r>
        <w:rPr>
          <w:spacing w:val="40"/>
        </w:rPr>
        <w:t> </w:t>
      </w:r>
      <w:r>
        <w:rPr/>
        <w:t>menghadap</w:t>
      </w:r>
      <w:r>
        <w:rPr>
          <w:spacing w:val="40"/>
        </w:rPr>
        <w:t> </w:t>
      </w:r>
      <w:r>
        <w:rPr/>
        <w:t>pantai</w:t>
      </w:r>
      <w:r>
        <w:rPr>
          <w:spacing w:val="40"/>
        </w:rPr>
        <w:t> </w:t>
      </w:r>
      <w:r>
        <w:rPr/>
        <w:t>yang</w:t>
      </w:r>
      <w:r>
        <w:rPr>
          <w:spacing w:val="40"/>
        </w:rPr>
        <w:t> </w:t>
      </w:r>
      <w:r>
        <w:rPr/>
        <w:t>berisi</w:t>
      </w:r>
      <w:r>
        <w:rPr>
          <w:spacing w:val="40"/>
        </w:rPr>
        <w:t> </w:t>
      </w:r>
      <w:r>
        <w:rPr/>
        <w:t>penawaran penjualan tanah.</w:t>
      </w:r>
      <w:r>
        <w:rPr>
          <w:spacing w:val="34"/>
        </w:rPr>
        <w:t> </w:t>
      </w:r>
      <w:r>
        <w:rPr/>
        <w:t>Jika status tanah jelas tidak</w:t>
      </w:r>
      <w:r>
        <w:rPr>
          <w:spacing w:val="38"/>
        </w:rPr>
        <w:t> </w:t>
      </w:r>
      <w:r>
        <w:rPr/>
        <w:t>masalah, namun jika status</w:t>
      </w:r>
      <w:r>
        <w:rPr>
          <w:spacing w:val="40"/>
        </w:rPr>
        <w:t> </w:t>
      </w:r>
      <w:r>
        <w:rPr/>
        <w:t>tanah</w:t>
      </w:r>
      <w:r>
        <w:rPr>
          <w:spacing w:val="40"/>
        </w:rPr>
        <w:t> </w:t>
      </w:r>
      <w:r>
        <w:rPr/>
        <w:t>tidak</w:t>
      </w:r>
      <w:r>
        <w:rPr>
          <w:spacing w:val="40"/>
        </w:rPr>
        <w:t> </w:t>
      </w:r>
      <w:r>
        <w:rPr/>
        <w:t>jelas</w:t>
      </w:r>
      <w:r>
        <w:rPr>
          <w:spacing w:val="40"/>
        </w:rPr>
        <w:t> </w:t>
      </w:r>
      <w:r>
        <w:rPr/>
        <w:t>akan</w:t>
      </w:r>
      <w:r>
        <w:rPr>
          <w:spacing w:val="40"/>
        </w:rPr>
        <w:t> </w:t>
      </w:r>
      <w:r>
        <w:rPr/>
        <w:t>menimbulkan</w:t>
      </w:r>
      <w:r>
        <w:rPr>
          <w:spacing w:val="40"/>
        </w:rPr>
        <w:t> </w:t>
      </w:r>
      <w:r>
        <w:rPr/>
        <w:t>konflik</w:t>
      </w:r>
      <w:r>
        <w:rPr>
          <w:spacing w:val="40"/>
        </w:rPr>
        <w:t> </w:t>
      </w:r>
      <w:r>
        <w:rPr/>
        <w:t>di</w:t>
      </w:r>
      <w:r>
        <w:rPr>
          <w:spacing w:val="40"/>
        </w:rPr>
        <w:t> </w:t>
      </w:r>
      <w:r>
        <w:rPr/>
        <w:t>masyarakat. Demikian</w:t>
      </w:r>
      <w:r>
        <w:rPr>
          <w:spacing w:val="40"/>
        </w:rPr>
        <w:t> </w:t>
      </w:r>
      <w:r>
        <w:rPr/>
        <w:t>pula</w:t>
      </w:r>
      <w:r>
        <w:rPr>
          <w:spacing w:val="40"/>
        </w:rPr>
        <w:t> </w:t>
      </w:r>
      <w:r>
        <w:rPr/>
        <w:t>di</w:t>
      </w:r>
      <w:r>
        <w:rPr>
          <w:spacing w:val="40"/>
        </w:rPr>
        <w:t> </w:t>
      </w:r>
      <w:r>
        <w:rPr/>
        <w:t>sepanjang</w:t>
      </w:r>
      <w:r>
        <w:rPr>
          <w:spacing w:val="40"/>
        </w:rPr>
        <w:t> </w:t>
      </w:r>
      <w:r>
        <w:rPr/>
        <w:t>jalan</w:t>
      </w:r>
      <w:r>
        <w:rPr>
          <w:spacing w:val="40"/>
        </w:rPr>
        <w:t> </w:t>
      </w:r>
      <w:r>
        <w:rPr/>
        <w:t>besar</w:t>
      </w:r>
      <w:r>
        <w:rPr>
          <w:spacing w:val="40"/>
        </w:rPr>
        <w:t> </w:t>
      </w:r>
      <w:r>
        <w:rPr/>
        <w:t>Kelurahan</w:t>
      </w:r>
      <w:r>
        <w:rPr>
          <w:spacing w:val="40"/>
        </w:rPr>
        <w:t> </w:t>
      </w:r>
      <w:r>
        <w:rPr/>
        <w:t>Tani</w:t>
      </w:r>
      <w:r>
        <w:rPr>
          <w:spacing w:val="40"/>
        </w:rPr>
        <w:t> </w:t>
      </w:r>
      <w:r>
        <w:rPr/>
        <w:t>Harapan, Kecamatan</w:t>
      </w:r>
      <w:r>
        <w:rPr>
          <w:spacing w:val="-7"/>
        </w:rPr>
        <w:t> </w:t>
      </w:r>
      <w:r>
        <w:rPr/>
        <w:t>Muara</w:t>
      </w:r>
      <w:r>
        <w:rPr>
          <w:spacing w:val="-7"/>
        </w:rPr>
        <w:t> </w:t>
      </w:r>
      <w:r>
        <w:rPr/>
        <w:t>Jawa,</w:t>
      </w:r>
      <w:r>
        <w:rPr>
          <w:spacing w:val="-6"/>
        </w:rPr>
        <w:t> </w:t>
      </w:r>
      <w:r>
        <w:rPr/>
        <w:t>banyak</w:t>
      </w:r>
      <w:r>
        <w:rPr>
          <w:spacing w:val="-6"/>
        </w:rPr>
        <w:t> </w:t>
      </w:r>
      <w:r>
        <w:rPr/>
        <w:t>terlihat</w:t>
      </w:r>
      <w:r>
        <w:rPr>
          <w:spacing w:val="-6"/>
        </w:rPr>
        <w:t> </w:t>
      </w:r>
      <w:r>
        <w:rPr/>
        <w:t>papan</w:t>
      </w:r>
      <w:r>
        <w:rPr>
          <w:spacing w:val="-3"/>
        </w:rPr>
        <w:t> </w:t>
      </w:r>
      <w:r>
        <w:rPr/>
        <w:t>penawaran</w:t>
      </w:r>
      <w:r>
        <w:rPr>
          <w:spacing w:val="-7"/>
        </w:rPr>
        <w:t> </w:t>
      </w:r>
      <w:r>
        <w:rPr/>
        <w:t>penjualan tanah. Hal senada diakui oleh Kepala Desa Loa Duri Ilir (wawancara tanggal 26 Oktober 2023). Padahal, wilayah Desa Loa Duri Ilir</w:t>
      </w:r>
    </w:p>
    <w:p>
      <w:pPr>
        <w:pStyle w:val="BodyText"/>
        <w:spacing w:before="5"/>
        <w:ind w:left="1276"/>
      </w:pPr>
      <w:r>
        <w:rPr/>
        <w:t>sebagian</w:t>
      </w:r>
      <w:r>
        <w:rPr>
          <w:spacing w:val="-5"/>
        </w:rPr>
        <w:t> </w:t>
      </w:r>
      <w:r>
        <w:rPr/>
        <w:t>merupakan</w:t>
      </w:r>
      <w:r>
        <w:rPr>
          <w:spacing w:val="-4"/>
        </w:rPr>
        <w:t> </w:t>
      </w:r>
      <w:r>
        <w:rPr/>
        <w:t>Taman</w:t>
      </w:r>
      <w:r>
        <w:rPr>
          <w:spacing w:val="-4"/>
        </w:rPr>
        <w:t> </w:t>
      </w:r>
      <w:r>
        <w:rPr/>
        <w:t>Hutan</w:t>
      </w:r>
      <w:r>
        <w:rPr>
          <w:spacing w:val="-5"/>
        </w:rPr>
        <w:t> </w:t>
      </w:r>
      <w:r>
        <w:rPr/>
        <w:t>Rakyat</w:t>
      </w:r>
      <w:r>
        <w:rPr>
          <w:spacing w:val="-3"/>
        </w:rPr>
        <w:t> </w:t>
      </w:r>
      <w:r>
        <w:rPr>
          <w:spacing w:val="-2"/>
        </w:rPr>
        <w:t>(Tahura).</w:t>
      </w:r>
    </w:p>
    <w:p>
      <w:pPr>
        <w:pStyle w:val="BodyText"/>
        <w:spacing w:line="360" w:lineRule="auto" w:before="161"/>
        <w:ind w:left="1276" w:right="704" w:firstLine="710"/>
      </w:pPr>
      <w:r>
        <w:rPr/>
        <w:t>Kecemburuan sosial juga akan menjadi masalah ke depan, apabila</w:t>
      </w:r>
      <w:r>
        <w:rPr>
          <w:spacing w:val="-1"/>
        </w:rPr>
        <w:t> </w:t>
      </w:r>
      <w:r>
        <w:rPr/>
        <w:t>tidak ada</w:t>
      </w:r>
      <w:r>
        <w:rPr>
          <w:spacing w:val="-1"/>
        </w:rPr>
        <w:t> </w:t>
      </w:r>
      <w:r>
        <w:rPr/>
        <w:t>perhatian kepada</w:t>
      </w:r>
      <w:r>
        <w:rPr>
          <w:spacing w:val="-1"/>
        </w:rPr>
        <w:t> </w:t>
      </w:r>
      <w:r>
        <w:rPr/>
        <w:t>pembangunan di wilayah sekitar IKN. Menurut Ketua DPRD Kutai Kartanegara, kecemburuan sosial sudah</w:t>
      </w:r>
      <w:r>
        <w:rPr>
          <w:spacing w:val="-11"/>
        </w:rPr>
        <w:t> </w:t>
      </w:r>
      <w:r>
        <w:rPr/>
        <w:t>tampak</w:t>
      </w:r>
      <w:r>
        <w:rPr>
          <w:spacing w:val="-8"/>
        </w:rPr>
        <w:t> </w:t>
      </w:r>
      <w:r>
        <w:rPr/>
        <w:t>misalnya</w:t>
      </w:r>
      <w:r>
        <w:rPr>
          <w:spacing w:val="-12"/>
        </w:rPr>
        <w:t> </w:t>
      </w:r>
      <w:r>
        <w:rPr/>
        <w:t>dalam</w:t>
      </w:r>
      <w:r>
        <w:rPr>
          <w:spacing w:val="-10"/>
        </w:rPr>
        <w:t> </w:t>
      </w:r>
      <w:r>
        <w:rPr/>
        <w:t>even-even</w:t>
      </w:r>
      <w:r>
        <w:rPr>
          <w:spacing w:val="-11"/>
        </w:rPr>
        <w:t> </w:t>
      </w:r>
      <w:r>
        <w:rPr/>
        <w:t>yang</w:t>
      </w:r>
      <w:r>
        <w:rPr>
          <w:spacing w:val="-12"/>
        </w:rPr>
        <w:t> </w:t>
      </w:r>
      <w:r>
        <w:rPr/>
        <w:t>diselenggarakan</w:t>
      </w:r>
      <w:r>
        <w:rPr>
          <w:spacing w:val="-10"/>
        </w:rPr>
        <w:t> </w:t>
      </w:r>
      <w:r>
        <w:rPr/>
        <w:t>oleh IKN, kebudayaan dari Penajam Paser Utara yang ditampilkan, tidak pernah dari Kutai Kartanegara. Padahal, Kutai Kartanegara merupakan kerajaan tertua di Indonesia yang sudah lebih lama dan besar. Perkembangan kesenian tari misalnya sudah lebih cepat di Kutai Kartanegara. Perhatian terhadap hal ini oleh OIKN diharapkan dapat meminimalisir kecemburuan sosial di dalam masyarakat Kutai </w:t>
      </w:r>
      <w:r>
        <w:rPr>
          <w:spacing w:val="-2"/>
        </w:rPr>
        <w:t>Kartanegara.</w:t>
      </w:r>
    </w:p>
    <w:p>
      <w:pPr>
        <w:pStyle w:val="Heading2"/>
        <w:numPr>
          <w:ilvl w:val="2"/>
          <w:numId w:val="32"/>
        </w:numPr>
        <w:tabs>
          <w:tab w:pos="1811" w:val="left" w:leader="none"/>
        </w:tabs>
        <w:spacing w:line="240" w:lineRule="auto" w:before="317" w:after="0"/>
        <w:ind w:left="1811" w:right="0" w:hanging="611"/>
        <w:jc w:val="both"/>
      </w:pPr>
      <w:bookmarkStart w:name="_bookmark58" w:id="59"/>
      <w:bookmarkEnd w:id="59"/>
      <w:r>
        <w:rPr>
          <w:b w:val="0"/>
        </w:rPr>
      </w:r>
      <w:r>
        <w:rPr/>
        <w:t>Dampak</w:t>
      </w:r>
      <w:r>
        <w:rPr>
          <w:spacing w:val="-4"/>
        </w:rPr>
        <w:t> </w:t>
      </w:r>
      <w:r>
        <w:rPr>
          <w:spacing w:val="-2"/>
        </w:rPr>
        <w:t>Teknologi</w:t>
      </w:r>
    </w:p>
    <w:p>
      <w:pPr>
        <w:pStyle w:val="BodyText"/>
        <w:spacing w:line="360" w:lineRule="auto" w:before="223"/>
        <w:ind w:left="1276" w:right="700" w:firstLine="710"/>
      </w:pPr>
      <w:r>
        <w:rPr/>
        <w:t>Keberadaan</w:t>
      </w:r>
      <w:r>
        <w:rPr>
          <w:spacing w:val="-11"/>
        </w:rPr>
        <w:t> </w:t>
      </w:r>
      <w:r>
        <w:rPr/>
        <w:t>IKN</w:t>
      </w:r>
      <w:r>
        <w:rPr>
          <w:spacing w:val="-8"/>
        </w:rPr>
        <w:t> </w:t>
      </w:r>
      <w:r>
        <w:rPr/>
        <w:t>ditinjau</w:t>
      </w:r>
      <w:r>
        <w:rPr>
          <w:spacing w:val="-12"/>
        </w:rPr>
        <w:t> </w:t>
      </w:r>
      <w:r>
        <w:rPr/>
        <w:t>dari</w:t>
      </w:r>
      <w:r>
        <w:rPr>
          <w:spacing w:val="-11"/>
        </w:rPr>
        <w:t> </w:t>
      </w:r>
      <w:r>
        <w:rPr/>
        <w:t>teknologi</w:t>
      </w:r>
      <w:r>
        <w:rPr>
          <w:spacing w:val="-11"/>
        </w:rPr>
        <w:t> </w:t>
      </w:r>
      <w:r>
        <w:rPr/>
        <w:t>diperkirakan</w:t>
      </w:r>
      <w:r>
        <w:rPr>
          <w:spacing w:val="-11"/>
        </w:rPr>
        <w:t> </w:t>
      </w:r>
      <w:r>
        <w:rPr/>
        <w:t>juga</w:t>
      </w:r>
      <w:r>
        <w:rPr>
          <w:spacing w:val="-12"/>
        </w:rPr>
        <w:t> </w:t>
      </w:r>
      <w:r>
        <w:rPr/>
        <w:t>akan membawa dampak kepada Kabupaten Kutai Kartanegara. IKN yang dibangun</w:t>
      </w:r>
      <w:r>
        <w:rPr>
          <w:spacing w:val="-1"/>
        </w:rPr>
        <w:t> </w:t>
      </w:r>
      <w:r>
        <w:rPr/>
        <w:t>dengan 8 prinsip dan</w:t>
      </w:r>
      <w:r>
        <w:rPr>
          <w:spacing w:val="-1"/>
        </w:rPr>
        <w:t> </w:t>
      </w:r>
      <w:r>
        <w:rPr/>
        <w:t>24 KPI</w:t>
      </w:r>
      <w:r>
        <w:rPr>
          <w:spacing w:val="-1"/>
        </w:rPr>
        <w:t> </w:t>
      </w:r>
      <w:r>
        <w:rPr/>
        <w:t>yang</w:t>
      </w:r>
      <w:r>
        <w:rPr>
          <w:spacing w:val="-2"/>
        </w:rPr>
        <w:t> </w:t>
      </w:r>
      <w:r>
        <w:rPr/>
        <w:t>salah satu</w:t>
      </w:r>
      <w:r>
        <w:rPr>
          <w:spacing w:val="-1"/>
        </w:rPr>
        <w:t> </w:t>
      </w:r>
      <w:r>
        <w:rPr/>
        <w:t>dari</w:t>
      </w:r>
      <w:r>
        <w:rPr>
          <w:spacing w:val="-1"/>
        </w:rPr>
        <w:t> </w:t>
      </w:r>
      <w:r>
        <w:rPr/>
        <w:t>8 prinsip</w:t>
      </w:r>
    </w:p>
    <w:p>
      <w:pPr>
        <w:pStyle w:val="BodyText"/>
        <w:spacing w:after="0" w:line="360" w:lineRule="auto"/>
        <w:sectPr>
          <w:pgSz w:w="11910" w:h="16840"/>
          <w:pgMar w:header="0" w:footer="1186" w:top="1580" w:bottom="1380" w:left="1700" w:right="992"/>
        </w:sectPr>
      </w:pPr>
    </w:p>
    <w:p>
      <w:pPr>
        <w:pStyle w:val="BodyText"/>
        <w:spacing w:line="360" w:lineRule="auto" w:before="82"/>
        <w:ind w:left="1315" w:right="694" w:firstLine="4"/>
        <w:jc w:val="right"/>
      </w:pPr>
      <w:r>
        <w:rPr/>
        <w:t>tersebut</w:t>
      </w:r>
      <w:r>
        <w:rPr>
          <w:spacing w:val="33"/>
        </w:rPr>
        <w:t> </w:t>
      </w:r>
      <w:r>
        <w:rPr/>
        <w:t>yakni</w:t>
      </w:r>
      <w:r>
        <w:rPr>
          <w:spacing w:val="33"/>
        </w:rPr>
        <w:t> </w:t>
      </w:r>
      <w:r>
        <w:rPr/>
        <w:t>nyaman</w:t>
      </w:r>
      <w:r>
        <w:rPr>
          <w:spacing w:val="32"/>
        </w:rPr>
        <w:t> </w:t>
      </w:r>
      <w:r>
        <w:rPr/>
        <w:t>dan</w:t>
      </w:r>
      <w:r>
        <w:rPr>
          <w:spacing w:val="32"/>
        </w:rPr>
        <w:t> </w:t>
      </w:r>
      <w:r>
        <w:rPr/>
        <w:t>efisien</w:t>
      </w:r>
      <w:r>
        <w:rPr>
          <w:spacing w:val="31"/>
        </w:rPr>
        <w:t> </w:t>
      </w:r>
      <w:r>
        <w:rPr/>
        <w:t>melalui</w:t>
      </w:r>
      <w:r>
        <w:rPr>
          <w:spacing w:val="37"/>
        </w:rPr>
        <w:t> </w:t>
      </w:r>
      <w:r>
        <w:rPr/>
        <w:t>teknologi.</w:t>
      </w:r>
      <w:r>
        <w:rPr>
          <w:spacing w:val="39"/>
        </w:rPr>
        <w:t> </w:t>
      </w:r>
      <w:r>
        <w:rPr/>
        <w:t>Pelaksanaan prinsip</w:t>
      </w:r>
      <w:r>
        <w:rPr>
          <w:spacing w:val="40"/>
        </w:rPr>
        <w:t> </w:t>
      </w:r>
      <w:r>
        <w:rPr/>
        <w:t>ini akan</w:t>
      </w:r>
      <w:r>
        <w:rPr>
          <w:spacing w:val="40"/>
        </w:rPr>
        <w:t> </w:t>
      </w:r>
      <w:r>
        <w:rPr/>
        <w:t>tampak</w:t>
      </w:r>
      <w:r>
        <w:rPr>
          <w:spacing w:val="40"/>
        </w:rPr>
        <w:t> </w:t>
      </w:r>
      <w:r>
        <w:rPr/>
        <w:t>pada</w:t>
      </w:r>
      <w:r>
        <w:rPr>
          <w:spacing w:val="40"/>
        </w:rPr>
        <w:t> </w:t>
      </w:r>
      <w:r>
        <w:rPr/>
        <w:t>pemerintahan</w:t>
      </w:r>
      <w:r>
        <w:rPr>
          <w:spacing w:val="40"/>
        </w:rPr>
        <w:t> </w:t>
      </w:r>
      <w:r>
        <w:rPr/>
        <w:t>yang</w:t>
      </w:r>
      <w:r>
        <w:rPr>
          <w:spacing w:val="40"/>
        </w:rPr>
        <w:t> </w:t>
      </w:r>
      <w:r>
        <w:rPr/>
        <w:t>berbasis</w:t>
      </w:r>
      <w:r>
        <w:rPr>
          <w:spacing w:val="40"/>
        </w:rPr>
        <w:t> </w:t>
      </w:r>
      <w:r>
        <w:rPr>
          <w:i/>
        </w:rPr>
        <w:t>e- Government</w:t>
      </w:r>
      <w:r>
        <w:rPr/>
        <w:t>; konektivitas digital dan teknologi, informasi, serta </w:t>
      </w:r>
      <w:r>
        <w:rPr>
          <w:spacing w:val="-2"/>
        </w:rPr>
        <w:t>komunikasi</w:t>
      </w:r>
      <w:r>
        <w:rPr>
          <w:spacing w:val="-7"/>
        </w:rPr>
        <w:t> </w:t>
      </w:r>
      <w:r>
        <w:rPr>
          <w:spacing w:val="-2"/>
        </w:rPr>
        <w:t>untuk</w:t>
      </w:r>
      <w:r>
        <w:rPr>
          <w:spacing w:val="-10"/>
        </w:rPr>
        <w:t> </w:t>
      </w:r>
      <w:r>
        <w:rPr>
          <w:spacing w:val="-2"/>
        </w:rPr>
        <w:t>semua</w:t>
      </w:r>
      <w:r>
        <w:rPr>
          <w:spacing w:val="-8"/>
        </w:rPr>
        <w:t> </w:t>
      </w:r>
      <w:r>
        <w:rPr>
          <w:spacing w:val="-2"/>
        </w:rPr>
        <w:t>penduduk</w:t>
      </w:r>
      <w:r>
        <w:rPr>
          <w:spacing w:val="-6"/>
        </w:rPr>
        <w:t> </w:t>
      </w:r>
      <w:r>
        <w:rPr>
          <w:spacing w:val="-2"/>
        </w:rPr>
        <w:t>dan</w:t>
      </w:r>
      <w:r>
        <w:rPr>
          <w:spacing w:val="-7"/>
        </w:rPr>
        <w:t> </w:t>
      </w:r>
      <w:r>
        <w:rPr>
          <w:spacing w:val="-2"/>
        </w:rPr>
        <w:t>bisnis;</w:t>
      </w:r>
      <w:r>
        <w:rPr>
          <w:spacing w:val="-5"/>
        </w:rPr>
        <w:t> </w:t>
      </w:r>
      <w:r>
        <w:rPr>
          <w:spacing w:val="-2"/>
        </w:rPr>
        <w:t>dan</w:t>
      </w:r>
      <w:r>
        <w:rPr>
          <w:spacing w:val="-7"/>
        </w:rPr>
        <w:t> </w:t>
      </w:r>
      <w:r>
        <w:rPr>
          <w:spacing w:val="-2"/>
        </w:rPr>
        <w:t>pelayanan</w:t>
      </w:r>
      <w:r>
        <w:rPr>
          <w:spacing w:val="-7"/>
        </w:rPr>
        <w:t> </w:t>
      </w:r>
      <w:r>
        <w:rPr>
          <w:spacing w:val="-2"/>
        </w:rPr>
        <w:t>digital. </w:t>
      </w:r>
      <w:r>
        <w:rPr/>
        <w:t>Dalam tujuan dan kebijakan penataan ruang IKN yang dimuat</w:t>
      </w:r>
      <w:r>
        <w:rPr>
          <w:spacing w:val="40"/>
        </w:rPr>
        <w:t> </w:t>
      </w:r>
      <w:r>
        <w:rPr/>
        <w:t>dalam Perpres Nomor 64 Tahun 2022 tentang Rencana Tata Ruang Kawasan Strategis Nasional Ibu Kota Nusantara, disebutkan bahwa tujuan IKN adalah sebagai kota yang berkelanjutan, aman, modern, produktif,</w:t>
      </w:r>
      <w:r>
        <w:rPr>
          <w:spacing w:val="40"/>
        </w:rPr>
        <w:t> </w:t>
      </w:r>
      <w:r>
        <w:rPr/>
        <w:t>dan</w:t>
      </w:r>
      <w:r>
        <w:rPr>
          <w:spacing w:val="40"/>
        </w:rPr>
        <w:t> </w:t>
      </w:r>
      <w:r>
        <w:rPr/>
        <w:t>menjadi</w:t>
      </w:r>
      <w:r>
        <w:rPr>
          <w:spacing w:val="40"/>
        </w:rPr>
        <w:t> </w:t>
      </w:r>
      <w:r>
        <w:rPr/>
        <w:t>simbol</w:t>
      </w:r>
      <w:r>
        <w:rPr>
          <w:spacing w:val="40"/>
        </w:rPr>
        <w:t> </w:t>
      </w:r>
      <w:r>
        <w:rPr/>
        <w:t>identitas</w:t>
      </w:r>
      <w:r>
        <w:rPr>
          <w:spacing w:val="40"/>
        </w:rPr>
        <w:t> </w:t>
      </w:r>
      <w:r>
        <w:rPr/>
        <w:t>Bangsa</w:t>
      </w:r>
      <w:r>
        <w:rPr>
          <w:spacing w:val="40"/>
        </w:rPr>
        <w:t> </w:t>
      </w:r>
      <w:r>
        <w:rPr/>
        <w:t>Indonesia.</w:t>
      </w:r>
      <w:r>
        <w:rPr>
          <w:spacing w:val="40"/>
        </w:rPr>
        <w:t> </w:t>
      </w:r>
      <w:r>
        <w:rPr/>
        <w:t>Peran teknologi tampak dalam tujuan sebagai kota modern. Kota modern tersebut</w:t>
      </w:r>
      <w:r>
        <w:rPr>
          <w:spacing w:val="-14"/>
        </w:rPr>
        <w:t> </w:t>
      </w:r>
      <w:r>
        <w:rPr/>
        <w:t>diciptakan</w:t>
      </w:r>
      <w:r>
        <w:rPr>
          <w:spacing w:val="-12"/>
        </w:rPr>
        <w:t> </w:t>
      </w:r>
      <w:r>
        <w:rPr/>
        <w:t>melalui</w:t>
      </w:r>
      <w:r>
        <w:rPr>
          <w:spacing w:val="-13"/>
        </w:rPr>
        <w:t> </w:t>
      </w:r>
      <w:r>
        <w:rPr/>
        <w:t>antara</w:t>
      </w:r>
      <w:r>
        <w:rPr>
          <w:spacing w:val="-13"/>
        </w:rPr>
        <w:t> </w:t>
      </w:r>
      <w:r>
        <w:rPr/>
        <w:t>lain</w:t>
      </w:r>
      <w:r>
        <w:rPr>
          <w:spacing w:val="-13"/>
        </w:rPr>
        <w:t> </w:t>
      </w:r>
      <w:r>
        <w:rPr/>
        <w:t>jaringan</w:t>
      </w:r>
      <w:r>
        <w:rPr>
          <w:spacing w:val="-9"/>
        </w:rPr>
        <w:t> </w:t>
      </w:r>
      <w:r>
        <w:rPr/>
        <w:t>sarana</w:t>
      </w:r>
      <w:r>
        <w:rPr>
          <w:spacing w:val="-13"/>
        </w:rPr>
        <w:t> </w:t>
      </w:r>
      <w:r>
        <w:rPr/>
        <w:t>dan</w:t>
      </w:r>
      <w:r>
        <w:rPr>
          <w:spacing w:val="-13"/>
        </w:rPr>
        <w:t> </w:t>
      </w:r>
      <w:r>
        <w:rPr>
          <w:spacing w:val="-2"/>
        </w:rPr>
        <w:t>prasarana</w:t>
      </w:r>
    </w:p>
    <w:p>
      <w:pPr>
        <w:pStyle w:val="BodyText"/>
        <w:spacing w:before="5"/>
        <w:ind w:left="1276"/>
      </w:pPr>
      <w:r>
        <w:rPr/>
        <w:t>yang</w:t>
      </w:r>
      <w:r>
        <w:rPr>
          <w:spacing w:val="-7"/>
        </w:rPr>
        <w:t> </w:t>
      </w:r>
      <w:r>
        <w:rPr/>
        <w:t>terintegrasi</w:t>
      </w:r>
      <w:r>
        <w:rPr>
          <w:spacing w:val="-4"/>
        </w:rPr>
        <w:t> </w:t>
      </w:r>
      <w:r>
        <w:rPr/>
        <w:t>serta</w:t>
      </w:r>
      <w:r>
        <w:rPr>
          <w:spacing w:val="-5"/>
        </w:rPr>
        <w:t> </w:t>
      </w:r>
      <w:r>
        <w:rPr/>
        <w:t>pengembangan</w:t>
      </w:r>
      <w:r>
        <w:rPr>
          <w:spacing w:val="-3"/>
        </w:rPr>
        <w:t> </w:t>
      </w:r>
      <w:r>
        <w:rPr/>
        <w:t>kota</w:t>
      </w:r>
      <w:r>
        <w:rPr>
          <w:spacing w:val="-5"/>
        </w:rPr>
        <w:t> </w:t>
      </w:r>
      <w:r>
        <w:rPr/>
        <w:t>cerdas</w:t>
      </w:r>
      <w:r>
        <w:rPr>
          <w:spacing w:val="-3"/>
        </w:rPr>
        <w:t> </w:t>
      </w:r>
      <w:r>
        <w:rPr/>
        <w:t>dan</w:t>
      </w:r>
      <w:r>
        <w:rPr>
          <w:spacing w:val="-9"/>
        </w:rPr>
        <w:t> </w:t>
      </w:r>
      <w:r>
        <w:rPr/>
        <w:t>kota</w:t>
      </w:r>
      <w:r>
        <w:rPr>
          <w:spacing w:val="-4"/>
        </w:rPr>
        <w:t> </w:t>
      </w:r>
      <w:r>
        <w:rPr>
          <w:spacing w:val="-2"/>
        </w:rPr>
        <w:t>spons.</w:t>
      </w:r>
    </w:p>
    <w:p>
      <w:pPr>
        <w:pStyle w:val="BodyText"/>
        <w:spacing w:line="360" w:lineRule="auto" w:before="161"/>
        <w:ind w:left="1276" w:right="700" w:firstLine="710"/>
      </w:pPr>
      <w:r>
        <w:rPr/>
        <w:t>Kabupaten Kutai Kartanegara sebagai daerah yang dekat dengan</w:t>
      </w:r>
      <w:r>
        <w:rPr>
          <w:spacing w:val="-5"/>
        </w:rPr>
        <w:t> </w:t>
      </w:r>
      <w:r>
        <w:rPr/>
        <w:t>IKN</w:t>
      </w:r>
      <w:r>
        <w:rPr>
          <w:spacing w:val="-5"/>
        </w:rPr>
        <w:t> </w:t>
      </w:r>
      <w:r>
        <w:rPr/>
        <w:t>mau</w:t>
      </w:r>
      <w:r>
        <w:rPr>
          <w:spacing w:val="-5"/>
        </w:rPr>
        <w:t> </w:t>
      </w:r>
      <w:r>
        <w:rPr/>
        <w:t>tidak</w:t>
      </w:r>
      <w:r>
        <w:rPr>
          <w:spacing w:val="-3"/>
        </w:rPr>
        <w:t> </w:t>
      </w:r>
      <w:r>
        <w:rPr/>
        <w:t>mau</w:t>
      </w:r>
      <w:r>
        <w:rPr>
          <w:spacing w:val="-5"/>
        </w:rPr>
        <w:t> </w:t>
      </w:r>
      <w:r>
        <w:rPr/>
        <w:t>akan</w:t>
      </w:r>
      <w:r>
        <w:rPr>
          <w:spacing w:val="-5"/>
        </w:rPr>
        <w:t> </w:t>
      </w:r>
      <w:r>
        <w:rPr/>
        <w:t>terdampak akibat</w:t>
      </w:r>
      <w:r>
        <w:rPr>
          <w:spacing w:val="-3"/>
        </w:rPr>
        <w:t> </w:t>
      </w:r>
      <w:r>
        <w:rPr/>
        <w:t>modernisasi IKN. Dampak</w:t>
      </w:r>
      <w:r>
        <w:rPr>
          <w:spacing w:val="-15"/>
        </w:rPr>
        <w:t> </w:t>
      </w:r>
      <w:r>
        <w:rPr/>
        <w:t>tersebut</w:t>
      </w:r>
      <w:r>
        <w:rPr>
          <w:spacing w:val="-15"/>
        </w:rPr>
        <w:t> </w:t>
      </w:r>
      <w:r>
        <w:rPr/>
        <w:t>dapat</w:t>
      </w:r>
      <w:r>
        <w:rPr>
          <w:spacing w:val="-15"/>
        </w:rPr>
        <w:t> </w:t>
      </w:r>
      <w:r>
        <w:rPr/>
        <w:t>menjadi</w:t>
      </w:r>
      <w:r>
        <w:rPr>
          <w:spacing w:val="-15"/>
        </w:rPr>
        <w:t> </w:t>
      </w:r>
      <w:r>
        <w:rPr/>
        <w:t>dampak</w:t>
      </w:r>
      <w:r>
        <w:rPr>
          <w:spacing w:val="-14"/>
        </w:rPr>
        <w:t> </w:t>
      </w:r>
      <w:r>
        <w:rPr/>
        <w:t>positif</w:t>
      </w:r>
      <w:r>
        <w:rPr>
          <w:spacing w:val="-14"/>
        </w:rPr>
        <w:t> </w:t>
      </w:r>
      <w:r>
        <w:rPr/>
        <w:t>dan</w:t>
      </w:r>
      <w:r>
        <w:rPr>
          <w:spacing w:val="-16"/>
        </w:rPr>
        <w:t> </w:t>
      </w:r>
      <w:r>
        <w:rPr/>
        <w:t>negatif.</w:t>
      </w:r>
      <w:r>
        <w:rPr>
          <w:spacing w:val="-14"/>
        </w:rPr>
        <w:t> </w:t>
      </w:r>
      <w:r>
        <w:rPr/>
        <w:t>Dampak positif yakni Pemerintah Kabupaten Kutai Kartanegara akan dipaksa menjalankan </w:t>
      </w:r>
      <w:r>
        <w:rPr>
          <w:i/>
        </w:rPr>
        <w:t>e-Government </w:t>
      </w:r>
      <w:r>
        <w:rPr/>
        <w:t>di semua lini. Digitalisasi dalam pemerintahan</w:t>
      </w:r>
      <w:r>
        <w:rPr>
          <w:spacing w:val="-16"/>
        </w:rPr>
        <w:t> </w:t>
      </w:r>
      <w:r>
        <w:rPr/>
        <w:t>tampaknya</w:t>
      </w:r>
      <w:r>
        <w:rPr>
          <w:spacing w:val="-12"/>
        </w:rPr>
        <w:t> </w:t>
      </w:r>
      <w:r>
        <w:rPr/>
        <w:t>sudah</w:t>
      </w:r>
      <w:r>
        <w:rPr>
          <w:spacing w:val="-17"/>
        </w:rPr>
        <w:t> </w:t>
      </w:r>
      <w:r>
        <w:rPr/>
        <w:t>harus</w:t>
      </w:r>
      <w:r>
        <w:rPr>
          <w:spacing w:val="-11"/>
        </w:rPr>
        <w:t> </w:t>
      </w:r>
      <w:r>
        <w:rPr/>
        <w:t>dilaksanakan</w:t>
      </w:r>
      <w:r>
        <w:rPr>
          <w:spacing w:val="-11"/>
        </w:rPr>
        <w:t> </w:t>
      </w:r>
      <w:r>
        <w:rPr/>
        <w:t>oleh</w:t>
      </w:r>
      <w:r>
        <w:rPr>
          <w:spacing w:val="-12"/>
        </w:rPr>
        <w:t> </w:t>
      </w:r>
      <w:r>
        <w:rPr/>
        <w:t>Pemerintah Kabupaten Kutai Kartanegara secara masif, jika tidak ingin ditinggalkan oleh lindasan kemajuan IKN. Saat ini menurut KPPOD, peluang untuk meningkatkan PDRD dalam UU HKPD salah satunya dapat dilakukan dengan dukungan </w:t>
      </w:r>
      <w:r>
        <w:rPr>
          <w:i/>
        </w:rPr>
        <w:t>smart </w:t>
      </w:r>
      <w:r>
        <w:rPr/>
        <w:t>administrasi melalui digitalisasi pembayaran PDRD. Dalam catatan KPPOD, digitalisasi pembayaran dapat menghindari kebocoran penerimaan daerah.</w:t>
      </w:r>
    </w:p>
    <w:p>
      <w:pPr>
        <w:pStyle w:val="BodyText"/>
        <w:spacing w:line="360" w:lineRule="auto" w:before="1"/>
        <w:ind w:left="1276" w:right="700" w:firstLine="710"/>
      </w:pPr>
      <w:r>
        <w:rPr/>
        <w:t>Selain menerapakn </w:t>
      </w:r>
      <w:r>
        <w:rPr>
          <w:i/>
        </w:rPr>
        <w:t>e-gov </w:t>
      </w:r>
      <w:r>
        <w:rPr/>
        <w:t>dan </w:t>
      </w:r>
      <w:r>
        <w:rPr>
          <w:i/>
        </w:rPr>
        <w:t>smart </w:t>
      </w:r>
      <w:r>
        <w:rPr/>
        <w:t>administrasi, fokus pendidikan dan pelatihan di Kabupaten Kutai Kartanegara harus diarahkan pada pendidikan dan pelatihan digital. Hal ini dimaksudkan</w:t>
      </w:r>
      <w:r>
        <w:rPr>
          <w:spacing w:val="40"/>
        </w:rPr>
        <w:t> </w:t>
      </w:r>
      <w:r>
        <w:rPr/>
        <w:t>untuk</w:t>
      </w:r>
      <w:r>
        <w:rPr>
          <w:spacing w:val="40"/>
        </w:rPr>
        <w:t> </w:t>
      </w:r>
      <w:r>
        <w:rPr/>
        <w:t>mempercepat</w:t>
      </w:r>
      <w:r>
        <w:rPr>
          <w:spacing w:val="40"/>
        </w:rPr>
        <w:t> </w:t>
      </w:r>
      <w:r>
        <w:rPr/>
        <w:t>peningkatan</w:t>
      </w:r>
      <w:r>
        <w:rPr>
          <w:spacing w:val="40"/>
        </w:rPr>
        <w:t> </w:t>
      </w:r>
      <w:r>
        <w:rPr/>
        <w:t>kapasitas</w:t>
      </w:r>
      <w:r>
        <w:rPr>
          <w:spacing w:val="40"/>
        </w:rPr>
        <w:t> </w:t>
      </w:r>
      <w:r>
        <w:rPr/>
        <w:t>SDM</w:t>
      </w:r>
      <w:r>
        <w:rPr>
          <w:spacing w:val="40"/>
        </w:rPr>
        <w:t> </w:t>
      </w:r>
      <w:r>
        <w:rPr/>
        <w:t>di</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5"/>
      </w:pPr>
      <w:r>
        <w:rPr/>
        <w:t>Kabupaten</w:t>
      </w:r>
      <w:r>
        <w:rPr>
          <w:spacing w:val="-11"/>
        </w:rPr>
        <w:t> </w:t>
      </w:r>
      <w:r>
        <w:rPr/>
        <w:t>Kutai</w:t>
      </w:r>
      <w:r>
        <w:rPr>
          <w:spacing w:val="-6"/>
        </w:rPr>
        <w:t> </w:t>
      </w:r>
      <w:r>
        <w:rPr/>
        <w:t>Kartanegara</w:t>
      </w:r>
      <w:r>
        <w:rPr>
          <w:spacing w:val="-7"/>
        </w:rPr>
        <w:t> </w:t>
      </w:r>
      <w:r>
        <w:rPr/>
        <w:t>yang</w:t>
      </w:r>
      <w:r>
        <w:rPr>
          <w:spacing w:val="-8"/>
        </w:rPr>
        <w:t> </w:t>
      </w:r>
      <w:r>
        <w:rPr/>
        <w:t>saat</w:t>
      </w:r>
      <w:r>
        <w:rPr>
          <w:spacing w:val="-5"/>
        </w:rPr>
        <w:t> </w:t>
      </w:r>
      <w:r>
        <w:rPr/>
        <w:t>ini</w:t>
      </w:r>
      <w:r>
        <w:rPr>
          <w:spacing w:val="-10"/>
        </w:rPr>
        <w:t> </w:t>
      </w:r>
      <w:r>
        <w:rPr/>
        <w:t>dinilai</w:t>
      </w:r>
      <w:r>
        <w:rPr>
          <w:spacing w:val="-5"/>
        </w:rPr>
        <w:t> </w:t>
      </w:r>
      <w:r>
        <w:rPr/>
        <w:t>masih</w:t>
      </w:r>
      <w:r>
        <w:rPr>
          <w:spacing w:val="-8"/>
        </w:rPr>
        <w:t> </w:t>
      </w:r>
      <w:r>
        <w:rPr/>
        <w:t>rendah.</w:t>
      </w:r>
      <w:r>
        <w:rPr>
          <w:spacing w:val="-5"/>
        </w:rPr>
        <w:t> </w:t>
      </w:r>
      <w:r>
        <w:rPr/>
        <w:t>Jadi, dampak positif lainnya dari aspek teknologi yakni IKN memaksa Pemerintah</w:t>
      </w:r>
      <w:r>
        <w:rPr>
          <w:spacing w:val="-17"/>
        </w:rPr>
        <w:t> </w:t>
      </w:r>
      <w:r>
        <w:rPr/>
        <w:t>Kabupaten</w:t>
      </w:r>
      <w:r>
        <w:rPr>
          <w:spacing w:val="-16"/>
        </w:rPr>
        <w:t> </w:t>
      </w:r>
      <w:r>
        <w:rPr/>
        <w:t>Kutai</w:t>
      </w:r>
      <w:r>
        <w:rPr>
          <w:spacing w:val="-16"/>
        </w:rPr>
        <w:t> </w:t>
      </w:r>
      <w:r>
        <w:rPr/>
        <w:t>Kartanegara</w:t>
      </w:r>
      <w:r>
        <w:rPr>
          <w:spacing w:val="-13"/>
        </w:rPr>
        <w:t> </w:t>
      </w:r>
      <w:r>
        <w:rPr/>
        <w:t>mempercepat</w:t>
      </w:r>
      <w:r>
        <w:rPr>
          <w:spacing w:val="-15"/>
        </w:rPr>
        <w:t> </w:t>
      </w:r>
      <w:r>
        <w:rPr/>
        <w:t>pelaksanaan </w:t>
      </w:r>
      <w:r>
        <w:rPr>
          <w:spacing w:val="-2"/>
        </w:rPr>
        <w:t>e-gov.</w:t>
      </w:r>
    </w:p>
    <w:p>
      <w:pPr>
        <w:pStyle w:val="BodyText"/>
        <w:spacing w:line="360" w:lineRule="auto" w:before="5"/>
        <w:ind w:left="1276" w:right="701" w:firstLine="710"/>
      </w:pPr>
      <w:r>
        <w:rPr/>
        <w:t>Tidak hanya bagi Pemerintah Kabupaten Kutai Kartanegara, masyarakat umumnya dan pelaku bisnis juga dituntut untuk mempercepat</w:t>
      </w:r>
      <w:r>
        <w:rPr>
          <w:spacing w:val="-2"/>
        </w:rPr>
        <w:t> </w:t>
      </w:r>
      <w:r>
        <w:rPr/>
        <w:t>pelaksanaan</w:t>
      </w:r>
      <w:r>
        <w:rPr>
          <w:spacing w:val="-4"/>
        </w:rPr>
        <w:t> </w:t>
      </w:r>
      <w:r>
        <w:rPr/>
        <w:t>digitalisasi</w:t>
      </w:r>
      <w:r>
        <w:rPr>
          <w:spacing w:val="-7"/>
        </w:rPr>
        <w:t> </w:t>
      </w:r>
      <w:r>
        <w:rPr/>
        <w:t>ekonomi,</w:t>
      </w:r>
      <w:r>
        <w:rPr>
          <w:spacing w:val="-7"/>
        </w:rPr>
        <w:t> </w:t>
      </w:r>
      <w:r>
        <w:rPr/>
        <w:t>baik</w:t>
      </w:r>
      <w:r>
        <w:rPr>
          <w:spacing w:val="-2"/>
        </w:rPr>
        <w:t> </w:t>
      </w:r>
      <w:r>
        <w:rPr/>
        <w:t>untuk</w:t>
      </w:r>
      <w:r>
        <w:rPr>
          <w:spacing w:val="-7"/>
        </w:rPr>
        <w:t> </w:t>
      </w:r>
      <w:r>
        <w:rPr/>
        <w:t>transaksi uang maupun untuk kegiatan ekonomi lainnya. Sinergitas pemerintah daerah dan masyarakat, terutama pelaku usaha akan dapat mempercepat modernisasi di Kabupaten Kutai Kartanegara juga. Jika Pemerintah Kabupaten Kutai Kartanegara tidak mempercepatnya, bisa jadi kekhawatiran Kutai Kartanegara menjadi penonton akan terjadi.</w:t>
      </w:r>
    </w:p>
    <w:p>
      <w:pPr>
        <w:pStyle w:val="BodyText"/>
        <w:spacing w:line="360" w:lineRule="auto"/>
        <w:ind w:left="1276" w:right="701" w:firstLine="710"/>
      </w:pPr>
      <w:r>
        <w:rPr/>
        <w:t>Teknologi</w:t>
      </w:r>
      <w:r>
        <w:rPr>
          <w:spacing w:val="-3"/>
        </w:rPr>
        <w:t> </w:t>
      </w:r>
      <w:r>
        <w:rPr/>
        <w:t>juga</w:t>
      </w:r>
      <w:r>
        <w:rPr>
          <w:spacing w:val="-5"/>
        </w:rPr>
        <w:t> </w:t>
      </w:r>
      <w:r>
        <w:rPr/>
        <w:t>dapat</w:t>
      </w:r>
      <w:r>
        <w:rPr>
          <w:spacing w:val="-2"/>
        </w:rPr>
        <w:t> </w:t>
      </w:r>
      <w:r>
        <w:rPr/>
        <w:t>menimbulkan</w:t>
      </w:r>
      <w:r>
        <w:rPr>
          <w:spacing w:val="-4"/>
        </w:rPr>
        <w:t> </w:t>
      </w:r>
      <w:r>
        <w:rPr/>
        <w:t>dampak</w:t>
      </w:r>
      <w:r>
        <w:rPr>
          <w:spacing w:val="-2"/>
        </w:rPr>
        <w:t> </w:t>
      </w:r>
      <w:r>
        <w:rPr/>
        <w:t>negatif,</w:t>
      </w:r>
      <w:r>
        <w:rPr>
          <w:spacing w:val="-2"/>
        </w:rPr>
        <w:t> </w:t>
      </w:r>
      <w:r>
        <w:rPr/>
        <w:t>baik</w:t>
      </w:r>
      <w:r>
        <w:rPr>
          <w:spacing w:val="-2"/>
        </w:rPr>
        <w:t> </w:t>
      </w:r>
      <w:r>
        <w:rPr/>
        <w:t>dari pemerintah maupun bagi masyarakat. Dampak negatif bagi Pemerintah Daerah Kabupaten Kutai Kartanegara</w:t>
      </w:r>
      <w:r>
        <w:rPr>
          <w:spacing w:val="-1"/>
        </w:rPr>
        <w:t> </w:t>
      </w:r>
      <w:r>
        <w:rPr/>
        <w:t>yakni pengeluaran tambahan</w:t>
      </w:r>
      <w:r>
        <w:rPr>
          <w:spacing w:val="-13"/>
        </w:rPr>
        <w:t> </w:t>
      </w:r>
      <w:r>
        <w:rPr/>
        <w:t>untuk</w:t>
      </w:r>
      <w:r>
        <w:rPr>
          <w:spacing w:val="-11"/>
        </w:rPr>
        <w:t> </w:t>
      </w:r>
      <w:r>
        <w:rPr/>
        <w:t>pengadaan</w:t>
      </w:r>
      <w:r>
        <w:rPr>
          <w:spacing w:val="-12"/>
        </w:rPr>
        <w:t> </w:t>
      </w:r>
      <w:r>
        <w:rPr/>
        <w:t>infrastruktur</w:t>
      </w:r>
      <w:r>
        <w:rPr>
          <w:spacing w:val="-13"/>
        </w:rPr>
        <w:t> </w:t>
      </w:r>
      <w:r>
        <w:rPr/>
        <w:t>teknologi,</w:t>
      </w:r>
      <w:r>
        <w:rPr>
          <w:spacing w:val="-11"/>
        </w:rPr>
        <w:t> </w:t>
      </w:r>
      <w:r>
        <w:rPr/>
        <w:t>perekrutan</w:t>
      </w:r>
      <w:r>
        <w:rPr>
          <w:spacing w:val="-12"/>
        </w:rPr>
        <w:t> </w:t>
      </w:r>
      <w:r>
        <w:rPr/>
        <w:t>SDM teknologi, dan pelatihan di bidang digitalisasi. Jika terjadi pengurangan pendapatan Kabupaten Kutai Kartanegara, maka yang harus dilakukan adalah melakukan refocussing terhadap anggaran pendidikan maupun pelatihan.</w:t>
      </w:r>
    </w:p>
    <w:p>
      <w:pPr>
        <w:pStyle w:val="BodyText"/>
        <w:spacing w:line="360" w:lineRule="auto" w:before="3"/>
        <w:ind w:left="1276" w:right="706" w:firstLine="710"/>
      </w:pPr>
      <w:r>
        <w:rPr/>
        <w:t>Dampak negatif bagi masyarakat yakni apabila masyarakat tidak dapat mengikuti perkembangan teknologi, masyarakat akan terlindas. Masyarakat Kutai Kartanegara dapat menjadi penonton saja. Tidak dapat berkontribusi aktif dalam pembangunan IKN dan perkembangan IKN nantinya.</w:t>
      </w:r>
    </w:p>
    <w:p>
      <w:pPr>
        <w:pStyle w:val="BodyText"/>
        <w:spacing w:after="0" w:line="360" w:lineRule="auto"/>
        <w:sectPr>
          <w:pgSz w:w="11910" w:h="16840"/>
          <w:pgMar w:header="0" w:footer="1186" w:top="1580" w:bottom="1380" w:left="1700" w:right="992"/>
        </w:sectPr>
      </w:pPr>
    </w:p>
    <w:p>
      <w:pPr>
        <w:pStyle w:val="Heading2"/>
        <w:numPr>
          <w:ilvl w:val="2"/>
          <w:numId w:val="32"/>
        </w:numPr>
        <w:tabs>
          <w:tab w:pos="1811" w:val="left" w:leader="none"/>
        </w:tabs>
        <w:spacing w:line="240" w:lineRule="auto" w:before="82" w:after="0"/>
        <w:ind w:left="1811" w:right="0" w:hanging="611"/>
        <w:jc w:val="both"/>
      </w:pPr>
      <w:bookmarkStart w:name="_bookmark59" w:id="60"/>
      <w:bookmarkEnd w:id="60"/>
      <w:r>
        <w:rPr>
          <w:b w:val="0"/>
        </w:rPr>
      </w:r>
      <w:r>
        <w:rPr/>
        <w:t>Dampak</w:t>
      </w:r>
      <w:r>
        <w:rPr>
          <w:spacing w:val="54"/>
        </w:rPr>
        <w:t> </w:t>
      </w:r>
      <w:r>
        <w:rPr>
          <w:spacing w:val="-2"/>
        </w:rPr>
        <w:t>Lingkungan</w:t>
      </w:r>
    </w:p>
    <w:p>
      <w:pPr>
        <w:pStyle w:val="BodyText"/>
        <w:spacing w:line="360" w:lineRule="auto" w:before="223"/>
        <w:ind w:left="1276" w:right="701" w:firstLine="710"/>
      </w:pPr>
      <w:r>
        <w:rPr/>
        <w:t>Pemerintah Indonesia memiliki visi besar untuk mendorong pertumbuhan ekonomi melalui pembangunan IKN di Kalimantan Timur. Konsep pembangunan ibu kota baru berwawasan internasional yakni IKN di wilayah ini dirancang untuk menjadi pilar utama</w:t>
      </w:r>
      <w:r>
        <w:rPr>
          <w:spacing w:val="-16"/>
        </w:rPr>
        <w:t> </w:t>
      </w:r>
      <w:r>
        <w:rPr/>
        <w:t>dalam</w:t>
      </w:r>
      <w:r>
        <w:rPr>
          <w:spacing w:val="-13"/>
        </w:rPr>
        <w:t> </w:t>
      </w:r>
      <w:r>
        <w:rPr/>
        <w:t>mendukung</w:t>
      </w:r>
      <w:r>
        <w:rPr>
          <w:spacing w:val="-15"/>
        </w:rPr>
        <w:t> </w:t>
      </w:r>
      <w:r>
        <w:rPr/>
        <w:t>transformasi</w:t>
      </w:r>
      <w:r>
        <w:rPr>
          <w:spacing w:val="-13"/>
        </w:rPr>
        <w:t> </w:t>
      </w:r>
      <w:r>
        <w:rPr/>
        <w:t>ekonomi</w:t>
      </w:r>
      <w:r>
        <w:rPr>
          <w:spacing w:val="-14"/>
        </w:rPr>
        <w:t> </w:t>
      </w:r>
      <w:r>
        <w:rPr/>
        <w:t>daerah</w:t>
      </w:r>
      <w:r>
        <w:rPr>
          <w:spacing w:val="-14"/>
        </w:rPr>
        <w:t> </w:t>
      </w:r>
      <w:r>
        <w:rPr/>
        <w:t>dan</w:t>
      </w:r>
      <w:r>
        <w:rPr>
          <w:spacing w:val="-15"/>
        </w:rPr>
        <w:t> </w:t>
      </w:r>
      <w:r>
        <w:rPr/>
        <w:t>nasional dengan</w:t>
      </w:r>
      <w:r>
        <w:rPr>
          <w:spacing w:val="-14"/>
        </w:rPr>
        <w:t> </w:t>
      </w:r>
      <w:r>
        <w:rPr/>
        <w:t>menciptakan</w:t>
      </w:r>
      <w:r>
        <w:rPr>
          <w:spacing w:val="-14"/>
        </w:rPr>
        <w:t> </w:t>
      </w:r>
      <w:r>
        <w:rPr/>
        <w:t>lingkungan</w:t>
      </w:r>
      <w:r>
        <w:rPr>
          <w:spacing w:val="-9"/>
        </w:rPr>
        <w:t> </w:t>
      </w:r>
      <w:r>
        <w:rPr/>
        <w:t>bisnis</w:t>
      </w:r>
      <w:r>
        <w:rPr>
          <w:spacing w:val="-14"/>
        </w:rPr>
        <w:t> </w:t>
      </w:r>
      <w:r>
        <w:rPr/>
        <w:t>yang</w:t>
      </w:r>
      <w:r>
        <w:rPr>
          <w:spacing w:val="-11"/>
        </w:rPr>
        <w:t> </w:t>
      </w:r>
      <w:r>
        <w:rPr/>
        <w:t>kondusif</w:t>
      </w:r>
      <w:r>
        <w:rPr>
          <w:spacing w:val="-12"/>
        </w:rPr>
        <w:t> </w:t>
      </w:r>
      <w:r>
        <w:rPr/>
        <w:t>untuk</w:t>
      </w:r>
      <w:r>
        <w:rPr>
          <w:spacing w:val="-13"/>
        </w:rPr>
        <w:t> </w:t>
      </w:r>
      <w:r>
        <w:rPr/>
        <w:t>menarik investor domestik maupun internasional.</w:t>
      </w:r>
    </w:p>
    <w:p>
      <w:pPr>
        <w:pStyle w:val="BodyText"/>
        <w:spacing w:line="360" w:lineRule="auto"/>
        <w:ind w:left="1276" w:right="697" w:firstLine="710"/>
      </w:pPr>
      <w:r>
        <w:rPr/>
        <w:t>Pembangunan infrastruktur Kawasan </w:t>
      </w:r>
      <w:r>
        <w:rPr>
          <w:color w:val="0D0D0D"/>
        </w:rPr>
        <w:t>Industri IKN dapat membawa dampak signifikan terhadap lingkungan di Kabupaten Kutai</w:t>
      </w:r>
      <w:r>
        <w:rPr>
          <w:color w:val="0D0D0D"/>
          <w:spacing w:val="-5"/>
        </w:rPr>
        <w:t> </w:t>
      </w:r>
      <w:r>
        <w:rPr>
          <w:color w:val="0D0D0D"/>
        </w:rPr>
        <w:t>Kartanegara</w:t>
      </w:r>
      <w:r>
        <w:rPr>
          <w:color w:val="0D0D0D"/>
          <w:spacing w:val="-6"/>
        </w:rPr>
        <w:t> </w:t>
      </w:r>
      <w:r>
        <w:rPr>
          <w:color w:val="0D0D0D"/>
        </w:rPr>
        <w:t>seperti</w:t>
      </w:r>
      <w:r>
        <w:rPr>
          <w:color w:val="0D0D0D"/>
          <w:spacing w:val="-5"/>
        </w:rPr>
        <w:t> </w:t>
      </w:r>
      <w:r>
        <w:rPr>
          <w:color w:val="0D0D0D"/>
        </w:rPr>
        <w:t>yang</w:t>
      </w:r>
      <w:r>
        <w:rPr>
          <w:color w:val="0D0D0D"/>
          <w:spacing w:val="-7"/>
        </w:rPr>
        <w:t> </w:t>
      </w:r>
      <w:r>
        <w:rPr>
          <w:color w:val="0D0D0D"/>
        </w:rPr>
        <w:t>terjadi</w:t>
      </w:r>
      <w:r>
        <w:rPr>
          <w:color w:val="0D0D0D"/>
          <w:spacing w:val="-5"/>
        </w:rPr>
        <w:t> </w:t>
      </w:r>
      <w:r>
        <w:rPr>
          <w:color w:val="0D0D0D"/>
        </w:rPr>
        <w:t>di</w:t>
      </w:r>
      <w:r>
        <w:rPr>
          <w:color w:val="0D0D0D"/>
          <w:spacing w:val="-5"/>
        </w:rPr>
        <w:t> </w:t>
      </w:r>
      <w:r>
        <w:rPr>
          <w:color w:val="0D0D0D"/>
        </w:rPr>
        <w:t>beberapa</w:t>
      </w:r>
      <w:r>
        <w:rPr>
          <w:color w:val="0D0D0D"/>
          <w:spacing w:val="-6"/>
        </w:rPr>
        <w:t> </w:t>
      </w:r>
      <w:r>
        <w:rPr>
          <w:color w:val="0D0D0D"/>
        </w:rPr>
        <w:t>wilayah</w:t>
      </w:r>
      <w:r>
        <w:rPr>
          <w:color w:val="0D0D0D"/>
          <w:spacing w:val="-6"/>
        </w:rPr>
        <w:t> </w:t>
      </w:r>
      <w:r>
        <w:rPr>
          <w:color w:val="0D0D0D"/>
        </w:rPr>
        <w:t>(Ewane</w:t>
      </w:r>
      <w:r>
        <w:rPr>
          <w:color w:val="0D0D0D"/>
          <w:spacing w:val="-5"/>
        </w:rPr>
        <w:t> </w:t>
      </w:r>
      <w:r>
        <w:rPr>
          <w:color w:val="0D0D0D"/>
        </w:rPr>
        <w:t>et al., 2023; Setyaningsih et al., 2019; Wirosoedarmo et al., 2015) yakni deforestasi, perubahan tata guna lahan dan air, kehilangan habitat alami,</w:t>
      </w:r>
      <w:r>
        <w:rPr>
          <w:color w:val="0D0D0D"/>
          <w:spacing w:val="-17"/>
        </w:rPr>
        <w:t> </w:t>
      </w:r>
      <w:r>
        <w:rPr>
          <w:color w:val="0D0D0D"/>
        </w:rPr>
        <w:t>penurunan</w:t>
      </w:r>
      <w:r>
        <w:rPr>
          <w:color w:val="0D0D0D"/>
          <w:spacing w:val="-16"/>
        </w:rPr>
        <w:t> </w:t>
      </w:r>
      <w:r>
        <w:rPr>
          <w:color w:val="0D0D0D"/>
        </w:rPr>
        <w:t>kualitas</w:t>
      </w:r>
      <w:r>
        <w:rPr>
          <w:color w:val="0D0D0D"/>
          <w:spacing w:val="-15"/>
        </w:rPr>
        <w:t> </w:t>
      </w:r>
      <w:r>
        <w:rPr>
          <w:color w:val="0D0D0D"/>
        </w:rPr>
        <w:t>air,</w:t>
      </w:r>
      <w:r>
        <w:rPr>
          <w:color w:val="0D0D0D"/>
          <w:spacing w:val="-16"/>
        </w:rPr>
        <w:t> </w:t>
      </w:r>
      <w:r>
        <w:rPr>
          <w:color w:val="0D0D0D"/>
        </w:rPr>
        <w:t>peningkatan</w:t>
      </w:r>
      <w:r>
        <w:rPr>
          <w:color w:val="0D0D0D"/>
          <w:spacing w:val="-13"/>
        </w:rPr>
        <w:t> </w:t>
      </w:r>
      <w:r>
        <w:rPr>
          <w:color w:val="0D0D0D"/>
        </w:rPr>
        <w:t>polusi</w:t>
      </w:r>
      <w:r>
        <w:rPr>
          <w:color w:val="0D0D0D"/>
          <w:spacing w:val="-17"/>
        </w:rPr>
        <w:t> </w:t>
      </w:r>
      <w:r>
        <w:rPr>
          <w:color w:val="0D0D0D"/>
        </w:rPr>
        <w:t>udara</w:t>
      </w:r>
      <w:r>
        <w:rPr>
          <w:color w:val="0D0D0D"/>
          <w:spacing w:val="-16"/>
        </w:rPr>
        <w:t> </w:t>
      </w:r>
      <w:r>
        <w:rPr>
          <w:color w:val="0D0D0D"/>
        </w:rPr>
        <w:t>dan</w:t>
      </w:r>
      <w:r>
        <w:rPr>
          <w:color w:val="0D0D0D"/>
          <w:spacing w:val="-14"/>
        </w:rPr>
        <w:t> </w:t>
      </w:r>
      <w:r>
        <w:rPr>
          <w:color w:val="0D0D0D"/>
        </w:rPr>
        <w:t>air</w:t>
      </w:r>
      <w:r>
        <w:rPr>
          <w:color w:val="0D0D0D"/>
          <w:spacing w:val="-15"/>
        </w:rPr>
        <w:t> </w:t>
      </w:r>
      <w:r>
        <w:rPr>
          <w:color w:val="0D0D0D"/>
        </w:rPr>
        <w:t>akibat aktivitas industri yang intensif, hingga konflik sosial. Selain dampak tersebut, pembangunan IKN dan aktivitas industri juga dapat berkontribusi terhadap perubahan iklim, serta penurunan cadangan air</w:t>
      </w:r>
      <w:r>
        <w:rPr>
          <w:color w:val="0D0D0D"/>
          <w:spacing w:val="-12"/>
        </w:rPr>
        <w:t> </w:t>
      </w:r>
      <w:r>
        <w:rPr>
          <w:color w:val="0D0D0D"/>
        </w:rPr>
        <w:t>tanah</w:t>
      </w:r>
      <w:r>
        <w:rPr>
          <w:color w:val="0D0D0D"/>
          <w:spacing w:val="-11"/>
        </w:rPr>
        <w:t> </w:t>
      </w:r>
      <w:r>
        <w:rPr>
          <w:color w:val="0D0D0D"/>
        </w:rPr>
        <w:t>dan</w:t>
      </w:r>
      <w:r>
        <w:rPr>
          <w:color w:val="0D0D0D"/>
          <w:spacing w:val="-11"/>
        </w:rPr>
        <w:t> </w:t>
      </w:r>
      <w:r>
        <w:rPr>
          <w:color w:val="0D0D0D"/>
        </w:rPr>
        <w:t>permukaan</w:t>
      </w:r>
      <w:r>
        <w:rPr>
          <w:color w:val="0D0D0D"/>
          <w:spacing w:val="-10"/>
        </w:rPr>
        <w:t> </w:t>
      </w:r>
      <w:r>
        <w:rPr>
          <w:color w:val="0D0D0D"/>
        </w:rPr>
        <w:t>di</w:t>
      </w:r>
      <w:r>
        <w:rPr>
          <w:color w:val="0D0D0D"/>
          <w:spacing w:val="-10"/>
        </w:rPr>
        <w:t> </w:t>
      </w:r>
      <w:r>
        <w:rPr>
          <w:color w:val="0D0D0D"/>
        </w:rPr>
        <w:t>sekitar</w:t>
      </w:r>
      <w:r>
        <w:rPr>
          <w:color w:val="0D0D0D"/>
          <w:spacing w:val="-12"/>
        </w:rPr>
        <w:t> </w:t>
      </w:r>
      <w:r>
        <w:rPr>
          <w:color w:val="0D0D0D"/>
        </w:rPr>
        <w:t>Kabupaten</w:t>
      </w:r>
      <w:r>
        <w:rPr>
          <w:color w:val="0D0D0D"/>
          <w:spacing w:val="-11"/>
        </w:rPr>
        <w:t> </w:t>
      </w:r>
      <w:r>
        <w:rPr>
          <w:color w:val="0D0D0D"/>
        </w:rPr>
        <w:t>Kutai</w:t>
      </w:r>
      <w:r>
        <w:rPr>
          <w:color w:val="0D0D0D"/>
          <w:spacing w:val="-10"/>
        </w:rPr>
        <w:t> </w:t>
      </w:r>
      <w:r>
        <w:rPr>
          <w:color w:val="0D0D0D"/>
        </w:rPr>
        <w:t>Kartanegara.</w:t>
      </w:r>
      <w:r>
        <w:rPr>
          <w:color w:val="0D0D0D"/>
          <w:spacing w:val="-12"/>
        </w:rPr>
        <w:t> </w:t>
      </w:r>
      <w:r>
        <w:rPr>
          <w:color w:val="0D0D0D"/>
        </w:rPr>
        <w:t>Hal ini</w:t>
      </w:r>
      <w:r>
        <w:rPr>
          <w:color w:val="0D0D0D"/>
          <w:spacing w:val="-2"/>
        </w:rPr>
        <w:t> </w:t>
      </w:r>
      <w:r>
        <w:rPr>
          <w:color w:val="0D0D0D"/>
        </w:rPr>
        <w:t>dipicu</w:t>
      </w:r>
      <w:r>
        <w:rPr>
          <w:color w:val="0D0D0D"/>
          <w:spacing w:val="-3"/>
        </w:rPr>
        <w:t> </w:t>
      </w:r>
      <w:r>
        <w:rPr>
          <w:color w:val="0D0D0D"/>
        </w:rPr>
        <w:t>oleh</w:t>
      </w:r>
      <w:r>
        <w:rPr>
          <w:color w:val="0D0D0D"/>
          <w:spacing w:val="-3"/>
        </w:rPr>
        <w:t> </w:t>
      </w:r>
      <w:r>
        <w:rPr>
          <w:color w:val="0D0D0D"/>
        </w:rPr>
        <w:t>ekstraksi</w:t>
      </w:r>
      <w:r>
        <w:rPr>
          <w:color w:val="0D0D0D"/>
          <w:spacing w:val="-2"/>
        </w:rPr>
        <w:t> </w:t>
      </w:r>
      <w:r>
        <w:rPr>
          <w:color w:val="0D0D0D"/>
        </w:rPr>
        <w:t>air</w:t>
      </w:r>
      <w:r>
        <w:rPr>
          <w:color w:val="0D0D0D"/>
          <w:spacing w:val="-4"/>
        </w:rPr>
        <w:t> </w:t>
      </w:r>
      <w:r>
        <w:rPr>
          <w:color w:val="0D0D0D"/>
        </w:rPr>
        <w:t>tanah</w:t>
      </w:r>
      <w:r>
        <w:rPr>
          <w:color w:val="0D0D0D"/>
          <w:spacing w:val="-3"/>
        </w:rPr>
        <w:t> </w:t>
      </w:r>
      <w:r>
        <w:rPr>
          <w:color w:val="0D0D0D"/>
        </w:rPr>
        <w:t>dalam</w:t>
      </w:r>
      <w:r>
        <w:rPr>
          <w:color w:val="0D0D0D"/>
          <w:spacing w:val="-2"/>
        </w:rPr>
        <w:t> </w:t>
      </w:r>
      <w:r>
        <w:rPr>
          <w:color w:val="0D0D0D"/>
        </w:rPr>
        <w:t>kuantitas</w:t>
      </w:r>
      <w:r>
        <w:rPr>
          <w:color w:val="0D0D0D"/>
          <w:spacing w:val="-2"/>
        </w:rPr>
        <w:t> </w:t>
      </w:r>
      <w:r>
        <w:rPr>
          <w:color w:val="0D0D0D"/>
        </w:rPr>
        <w:t>besar</w:t>
      </w:r>
      <w:r>
        <w:rPr>
          <w:color w:val="0D0D0D"/>
          <w:spacing w:val="-3"/>
        </w:rPr>
        <w:t> </w:t>
      </w:r>
      <w:r>
        <w:rPr>
          <w:color w:val="0D0D0D"/>
        </w:rPr>
        <w:t>oleh</w:t>
      </w:r>
      <w:r>
        <w:rPr>
          <w:color w:val="0D0D0D"/>
          <w:spacing w:val="-3"/>
        </w:rPr>
        <w:t> </w:t>
      </w:r>
      <w:r>
        <w:rPr>
          <w:color w:val="0D0D0D"/>
        </w:rPr>
        <w:t>industri dan aktifitas pembangunan yang menimbulkan tekanan tambahan pada sumber daya air hingga dapat menimbulkan bencana land subsidence seperti banyak terjadi di kota besar seperti Jakarta, Bandung, Venice, atau Beijing (Putranto et al., 2020; Tzampoglou et al., 2023).</w:t>
      </w:r>
    </w:p>
    <w:p>
      <w:pPr>
        <w:pStyle w:val="BodyText"/>
        <w:spacing w:line="360" w:lineRule="auto" w:before="2"/>
        <w:ind w:left="1276" w:right="700" w:firstLine="710"/>
      </w:pPr>
      <w:r>
        <w:rPr>
          <w:color w:val="0D0D0D"/>
        </w:rPr>
        <w:t>Meskipun</w:t>
      </w:r>
      <w:r>
        <w:rPr>
          <w:color w:val="0D0D0D"/>
          <w:spacing w:val="-13"/>
        </w:rPr>
        <w:t> </w:t>
      </w:r>
      <w:r>
        <w:rPr>
          <w:color w:val="0D0D0D"/>
        </w:rPr>
        <w:t>aktivitas</w:t>
      </w:r>
      <w:r>
        <w:rPr>
          <w:color w:val="0D0D0D"/>
          <w:spacing w:val="-12"/>
        </w:rPr>
        <w:t> </w:t>
      </w:r>
      <w:r>
        <w:rPr>
          <w:color w:val="0D0D0D"/>
        </w:rPr>
        <w:t>pembangunan</w:t>
      </w:r>
      <w:r>
        <w:rPr>
          <w:color w:val="0D0D0D"/>
          <w:spacing w:val="-12"/>
        </w:rPr>
        <w:t> </w:t>
      </w:r>
      <w:r>
        <w:rPr>
          <w:color w:val="0D0D0D"/>
        </w:rPr>
        <w:t>di</w:t>
      </w:r>
      <w:r>
        <w:rPr>
          <w:color w:val="0D0D0D"/>
          <w:spacing w:val="-12"/>
        </w:rPr>
        <w:t> </w:t>
      </w:r>
      <w:r>
        <w:rPr>
          <w:color w:val="0D0D0D"/>
        </w:rPr>
        <w:t>Kawasan</w:t>
      </w:r>
      <w:r>
        <w:rPr>
          <w:color w:val="0D0D0D"/>
          <w:spacing w:val="-8"/>
        </w:rPr>
        <w:t> </w:t>
      </w:r>
      <w:r>
        <w:rPr>
          <w:color w:val="0D0D0D"/>
        </w:rPr>
        <w:t>Pengembangan IKN</w:t>
      </w:r>
      <w:r>
        <w:rPr>
          <w:color w:val="0D0D0D"/>
          <w:spacing w:val="-1"/>
        </w:rPr>
        <w:t> </w:t>
      </w:r>
      <w:r>
        <w:rPr>
          <w:color w:val="0D0D0D"/>
        </w:rPr>
        <w:t>khususnya</w:t>
      </w:r>
      <w:r>
        <w:rPr>
          <w:color w:val="0D0D0D"/>
          <w:spacing w:val="-2"/>
        </w:rPr>
        <w:t> </w:t>
      </w:r>
      <w:r>
        <w:rPr>
          <w:color w:val="0D0D0D"/>
        </w:rPr>
        <w:t>di bagian</w:t>
      </w:r>
      <w:r>
        <w:rPr>
          <w:color w:val="0D0D0D"/>
          <w:spacing w:val="-1"/>
        </w:rPr>
        <w:t> </w:t>
      </w:r>
      <w:r>
        <w:rPr>
          <w:color w:val="0D0D0D"/>
        </w:rPr>
        <w:t>wilayah</w:t>
      </w:r>
      <w:r>
        <w:rPr>
          <w:color w:val="0D0D0D"/>
          <w:spacing w:val="-1"/>
        </w:rPr>
        <w:t> </w:t>
      </w:r>
      <w:r>
        <w:rPr>
          <w:color w:val="0D0D0D"/>
        </w:rPr>
        <w:t>Kabupaten</w:t>
      </w:r>
      <w:r>
        <w:rPr>
          <w:color w:val="0D0D0D"/>
          <w:spacing w:val="-1"/>
        </w:rPr>
        <w:t> </w:t>
      </w:r>
      <w:r>
        <w:rPr>
          <w:color w:val="0D0D0D"/>
        </w:rPr>
        <w:t>Kutai Kartanegara</w:t>
      </w:r>
      <w:r>
        <w:rPr>
          <w:color w:val="0D0D0D"/>
          <w:spacing w:val="-2"/>
        </w:rPr>
        <w:t> </w:t>
      </w:r>
      <w:r>
        <w:rPr>
          <w:color w:val="0D0D0D"/>
        </w:rPr>
        <w:t>pada tahun</w:t>
      </w:r>
      <w:r>
        <w:rPr>
          <w:color w:val="0D0D0D"/>
          <w:spacing w:val="-11"/>
        </w:rPr>
        <w:t> </w:t>
      </w:r>
      <w:r>
        <w:rPr>
          <w:color w:val="0D0D0D"/>
        </w:rPr>
        <w:t>2023</w:t>
      </w:r>
      <w:r>
        <w:rPr>
          <w:color w:val="0D0D0D"/>
          <w:spacing w:val="-14"/>
        </w:rPr>
        <w:t> </w:t>
      </w:r>
      <w:r>
        <w:rPr>
          <w:color w:val="0D0D0D"/>
        </w:rPr>
        <w:t>belum</w:t>
      </w:r>
      <w:r>
        <w:rPr>
          <w:color w:val="0D0D0D"/>
          <w:spacing w:val="-14"/>
        </w:rPr>
        <w:t> </w:t>
      </w:r>
      <w:r>
        <w:rPr>
          <w:color w:val="0D0D0D"/>
        </w:rPr>
        <w:t>terlihat</w:t>
      </w:r>
      <w:r>
        <w:rPr>
          <w:color w:val="0D0D0D"/>
          <w:spacing w:val="-9"/>
        </w:rPr>
        <w:t> </w:t>
      </w:r>
      <w:r>
        <w:rPr>
          <w:color w:val="0D0D0D"/>
        </w:rPr>
        <w:t>secara</w:t>
      </w:r>
      <w:r>
        <w:rPr>
          <w:color w:val="0D0D0D"/>
          <w:spacing w:val="-12"/>
        </w:rPr>
        <w:t> </w:t>
      </w:r>
      <w:r>
        <w:rPr>
          <w:color w:val="0D0D0D"/>
        </w:rPr>
        <w:t>kasat</w:t>
      </w:r>
      <w:r>
        <w:rPr>
          <w:color w:val="0D0D0D"/>
          <w:spacing w:val="-9"/>
        </w:rPr>
        <w:t> </w:t>
      </w:r>
      <w:r>
        <w:rPr>
          <w:color w:val="0D0D0D"/>
        </w:rPr>
        <w:t>mata,</w:t>
      </w:r>
      <w:r>
        <w:rPr>
          <w:color w:val="0D0D0D"/>
          <w:spacing w:val="-14"/>
        </w:rPr>
        <w:t> </w:t>
      </w:r>
      <w:r>
        <w:rPr>
          <w:color w:val="0D0D0D"/>
        </w:rPr>
        <w:t>namun</w:t>
      </w:r>
      <w:r>
        <w:rPr>
          <w:color w:val="0D0D0D"/>
          <w:spacing w:val="-11"/>
        </w:rPr>
        <w:t> </w:t>
      </w:r>
      <w:r>
        <w:rPr>
          <w:color w:val="0D0D0D"/>
        </w:rPr>
        <w:t>potensi</w:t>
      </w:r>
      <w:r>
        <w:rPr>
          <w:color w:val="0D0D0D"/>
          <w:spacing w:val="-10"/>
        </w:rPr>
        <w:t> </w:t>
      </w:r>
      <w:r>
        <w:rPr>
          <w:color w:val="0D0D0D"/>
        </w:rPr>
        <w:t>dampak lingkungan dapat diperkirakan terutama mengacu pada</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697"/>
      </w:pPr>
      <w:r>
        <w:rPr/>
        <mc:AlternateContent>
          <mc:Choice Requires="wps">
            <w:drawing>
              <wp:anchor distT="0" distB="0" distL="0" distR="0" allowOverlap="1" layoutInCell="1" locked="0" behindDoc="1" simplePos="0" relativeHeight="485869056">
                <wp:simplePos x="0" y="0"/>
                <wp:positionH relativeFrom="page">
                  <wp:posOffset>4462145</wp:posOffset>
                </wp:positionH>
                <wp:positionV relativeFrom="paragraph">
                  <wp:posOffset>357886</wp:posOffset>
                </wp:positionV>
                <wp:extent cx="33020" cy="20320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3020" cy="203200"/>
                        </a:xfrm>
                        <a:custGeom>
                          <a:avLst/>
                          <a:gdLst/>
                          <a:ahLst/>
                          <a:cxnLst/>
                          <a:rect l="l" t="t" r="r" b="b"/>
                          <a:pathLst>
                            <a:path w="33020" h="203200">
                              <a:moveTo>
                                <a:pt x="33020" y="0"/>
                              </a:moveTo>
                              <a:lnTo>
                                <a:pt x="0" y="0"/>
                              </a:lnTo>
                              <a:lnTo>
                                <a:pt x="0" y="203200"/>
                              </a:lnTo>
                              <a:lnTo>
                                <a:pt x="33020" y="203200"/>
                              </a:lnTo>
                              <a:lnTo>
                                <a:pt x="33020"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rect style="position:absolute;margin-left:351.350006pt;margin-top:28.18pt;width:2.6pt;height:16pt;mso-position-horizontal-relative:page;mso-position-vertical-relative:paragraph;z-index:-17447424" id="docshape20" filled="true" fillcolor="#ffff00" stroked="false">
                <v:fill type="solid"/>
                <w10:wrap type="none"/>
              </v:rect>
            </w:pict>
          </mc:Fallback>
        </mc:AlternateContent>
      </w:r>
      <w:r>
        <w:rPr>
          <w:color w:val="0D0D0D"/>
        </w:rPr>
        <w:t>pemanfaatan</w:t>
      </w:r>
      <w:r>
        <w:rPr>
          <w:color w:val="0D0D0D"/>
          <w:spacing w:val="-12"/>
        </w:rPr>
        <w:t> </w:t>
      </w:r>
      <w:r>
        <w:rPr>
          <w:color w:val="0D0D0D"/>
        </w:rPr>
        <w:t>lahan</w:t>
      </w:r>
      <w:r>
        <w:rPr>
          <w:color w:val="0D0D0D"/>
          <w:spacing w:val="-14"/>
        </w:rPr>
        <w:t> </w:t>
      </w:r>
      <w:r>
        <w:rPr>
          <w:color w:val="0D0D0D"/>
        </w:rPr>
        <w:t>eksisting</w:t>
      </w:r>
      <w:r>
        <w:rPr>
          <w:color w:val="0D0D0D"/>
          <w:spacing w:val="-14"/>
        </w:rPr>
        <w:t> </w:t>
      </w:r>
      <w:r>
        <w:rPr>
          <w:color w:val="0D0D0D"/>
        </w:rPr>
        <w:t>yang</w:t>
      </w:r>
      <w:r>
        <w:rPr>
          <w:color w:val="0D0D0D"/>
          <w:spacing w:val="-15"/>
        </w:rPr>
        <w:t> </w:t>
      </w:r>
      <w:r>
        <w:rPr>
          <w:color w:val="0D0D0D"/>
        </w:rPr>
        <w:t>sebagian</w:t>
      </w:r>
      <w:r>
        <w:rPr>
          <w:color w:val="0D0D0D"/>
          <w:spacing w:val="-13"/>
        </w:rPr>
        <w:t> </w:t>
      </w:r>
      <w:r>
        <w:rPr>
          <w:color w:val="0D0D0D"/>
        </w:rPr>
        <w:t>besar</w:t>
      </w:r>
      <w:r>
        <w:rPr>
          <w:color w:val="0D0D0D"/>
          <w:spacing w:val="-14"/>
        </w:rPr>
        <w:t> </w:t>
      </w:r>
      <w:r>
        <w:rPr>
          <w:color w:val="0D0D0D"/>
        </w:rPr>
        <w:t>terdiri</w:t>
      </w:r>
      <w:r>
        <w:rPr>
          <w:color w:val="0D0D0D"/>
          <w:spacing w:val="-13"/>
        </w:rPr>
        <w:t> </w:t>
      </w:r>
      <w:r>
        <w:rPr>
          <w:color w:val="0D0D0D"/>
        </w:rPr>
        <w:t>dari</w:t>
      </w:r>
      <w:r>
        <w:rPr>
          <w:color w:val="0D0D0D"/>
          <w:spacing w:val="-13"/>
        </w:rPr>
        <w:t> </w:t>
      </w:r>
      <w:r>
        <w:rPr>
          <w:color w:val="0D0D0D"/>
        </w:rPr>
        <w:t>aktifitas pertambangan dan eksplorasi MIGAS. Potensi dampak lingkungan yang terkait dengan pertambangan ditekankan pada proses eksplorasi karena dapat menimbulkan dampak negatif bagi lingkungan seperti hilangnya lahan vegetasi dan sumber daya potensial, memicu banjir, eksposur atau lubang tambang terbuka, penurunan cadangan air tanah, erosi tanah, polusi udara, tumpahan tailing</w:t>
      </w:r>
      <w:r>
        <w:rPr>
          <w:color w:val="0D0D0D"/>
          <w:spacing w:val="-17"/>
        </w:rPr>
        <w:t> </w:t>
      </w:r>
      <w:r>
        <w:rPr>
          <w:color w:val="0D0D0D"/>
        </w:rPr>
        <w:t>tambang,</w:t>
      </w:r>
      <w:r>
        <w:rPr>
          <w:color w:val="0D0D0D"/>
          <w:spacing w:val="-16"/>
        </w:rPr>
        <w:t> </w:t>
      </w:r>
      <w:r>
        <w:rPr>
          <w:color w:val="0D0D0D"/>
        </w:rPr>
        <w:t>polusi</w:t>
      </w:r>
      <w:r>
        <w:rPr>
          <w:color w:val="0D0D0D"/>
          <w:spacing w:val="-17"/>
        </w:rPr>
        <w:t> </w:t>
      </w:r>
      <w:r>
        <w:rPr>
          <w:color w:val="0D0D0D"/>
        </w:rPr>
        <w:t>suara,</w:t>
      </w:r>
      <w:r>
        <w:rPr>
          <w:color w:val="0D0D0D"/>
          <w:spacing w:val="-16"/>
        </w:rPr>
        <w:t> </w:t>
      </w:r>
      <w:r>
        <w:rPr>
          <w:color w:val="0D0D0D"/>
        </w:rPr>
        <w:t>dan</w:t>
      </w:r>
      <w:r>
        <w:rPr>
          <w:color w:val="0D0D0D"/>
          <w:spacing w:val="-17"/>
        </w:rPr>
        <w:t> </w:t>
      </w:r>
      <w:r>
        <w:rPr>
          <w:color w:val="0D0D0D"/>
        </w:rPr>
        <w:t>getaran</w:t>
      </w:r>
      <w:r>
        <w:rPr>
          <w:color w:val="0D0D0D"/>
          <w:spacing w:val="-16"/>
        </w:rPr>
        <w:t> </w:t>
      </w:r>
      <w:r>
        <w:rPr>
          <w:color w:val="0D0D0D"/>
        </w:rPr>
        <w:t>tanah</w:t>
      </w:r>
      <w:r>
        <w:rPr>
          <w:color w:val="0D0D0D"/>
          <w:spacing w:val="-17"/>
        </w:rPr>
        <w:t> </w:t>
      </w:r>
      <w:r>
        <w:rPr>
          <w:color w:val="0D0D0D"/>
        </w:rPr>
        <w:t>(Mohsin</w:t>
      </w:r>
      <w:r>
        <w:rPr>
          <w:color w:val="0D0D0D"/>
          <w:spacing w:val="-16"/>
        </w:rPr>
        <w:t> </w:t>
      </w:r>
      <w:r>
        <w:rPr>
          <w:color w:val="0D0D0D"/>
        </w:rPr>
        <w:t>et</w:t>
      </w:r>
      <w:r>
        <w:rPr>
          <w:color w:val="0D0D0D"/>
          <w:spacing w:val="-16"/>
        </w:rPr>
        <w:t> </w:t>
      </w:r>
      <w:r>
        <w:rPr>
          <w:color w:val="0D0D0D"/>
        </w:rPr>
        <w:t>al.,</w:t>
      </w:r>
      <w:r>
        <w:rPr>
          <w:color w:val="0D0D0D"/>
          <w:spacing w:val="-17"/>
        </w:rPr>
        <w:t> </w:t>
      </w:r>
      <w:r>
        <w:rPr>
          <w:color w:val="0D0D0D"/>
        </w:rPr>
        <w:t>2021). Selaras dengan hasil wawancara dengan </w:t>
      </w:r>
      <w:r>
        <w:rPr>
          <w:i/>
          <w:color w:val="0D0D0D"/>
        </w:rPr>
        <w:t>key person </w:t>
      </w:r>
      <w:r>
        <w:rPr>
          <w:color w:val="0D0D0D"/>
        </w:rPr>
        <w:t>(Sie. Pelayanan Umum) di Kantor Kecamatan Samboja dan Samboja Barat), kejadian banjir dikarenakan aktivitas penambangan terjadi dengan frekuensi dan</w:t>
      </w:r>
      <w:r>
        <w:rPr>
          <w:color w:val="0D0D0D"/>
          <w:spacing w:val="-15"/>
        </w:rPr>
        <w:t> </w:t>
      </w:r>
      <w:r>
        <w:rPr>
          <w:color w:val="0D0D0D"/>
        </w:rPr>
        <w:t>periode</w:t>
      </w:r>
      <w:r>
        <w:rPr>
          <w:color w:val="0D0D0D"/>
          <w:spacing w:val="-9"/>
        </w:rPr>
        <w:t> </w:t>
      </w:r>
      <w:r>
        <w:rPr>
          <w:color w:val="0D0D0D"/>
        </w:rPr>
        <w:t>tertentu</w:t>
      </w:r>
      <w:r>
        <w:rPr>
          <w:color w:val="0D0D0D"/>
          <w:spacing w:val="-14"/>
        </w:rPr>
        <w:t> </w:t>
      </w:r>
      <w:r>
        <w:rPr>
          <w:color w:val="0D0D0D"/>
        </w:rPr>
        <w:t>terutama</w:t>
      </w:r>
      <w:r>
        <w:rPr>
          <w:color w:val="0D0D0D"/>
          <w:spacing w:val="-15"/>
        </w:rPr>
        <w:t> </w:t>
      </w:r>
      <w:r>
        <w:rPr>
          <w:color w:val="0D0D0D"/>
        </w:rPr>
        <w:t>pada</w:t>
      </w:r>
      <w:r>
        <w:rPr>
          <w:color w:val="0D0D0D"/>
          <w:spacing w:val="-11"/>
        </w:rPr>
        <w:t> </w:t>
      </w:r>
      <w:r>
        <w:rPr>
          <w:color w:val="0D0D0D"/>
        </w:rPr>
        <w:t>saat</w:t>
      </w:r>
      <w:r>
        <w:rPr>
          <w:color w:val="0D0D0D"/>
          <w:spacing w:val="-13"/>
        </w:rPr>
        <w:t> </w:t>
      </w:r>
      <w:r>
        <w:rPr>
          <w:color w:val="0D0D0D"/>
        </w:rPr>
        <w:t>curah</w:t>
      </w:r>
      <w:r>
        <w:rPr>
          <w:color w:val="0D0D0D"/>
          <w:spacing w:val="-10"/>
        </w:rPr>
        <w:t> </w:t>
      </w:r>
      <w:r>
        <w:rPr>
          <w:color w:val="0D0D0D"/>
        </w:rPr>
        <w:t>hujan</w:t>
      </w:r>
      <w:r>
        <w:rPr>
          <w:color w:val="0D0D0D"/>
          <w:spacing w:val="-15"/>
        </w:rPr>
        <w:t> </w:t>
      </w:r>
      <w:r>
        <w:rPr>
          <w:color w:val="0D0D0D"/>
        </w:rPr>
        <w:t>tinggi.</w:t>
      </w:r>
      <w:r>
        <w:rPr>
          <w:color w:val="0D0D0D"/>
          <w:spacing w:val="-13"/>
        </w:rPr>
        <w:t> </w:t>
      </w:r>
      <w:r>
        <w:rPr>
          <w:color w:val="0D0D0D"/>
        </w:rPr>
        <w:t>Kejadian banjir di Kecamatan Samboja dan Samboja Barat berkorelasi erat dengan lahan pertambangan maupun ex-pertambangan yang memiliki</w:t>
      </w:r>
      <w:r>
        <w:rPr>
          <w:color w:val="0D0D0D"/>
          <w:spacing w:val="-17"/>
        </w:rPr>
        <w:t> </w:t>
      </w:r>
      <w:r>
        <w:rPr>
          <w:color w:val="0D0D0D"/>
        </w:rPr>
        <w:t>kemampuan</w:t>
      </w:r>
      <w:r>
        <w:rPr>
          <w:color w:val="0D0D0D"/>
          <w:spacing w:val="-16"/>
        </w:rPr>
        <w:t> </w:t>
      </w:r>
      <w:r>
        <w:rPr>
          <w:color w:val="0D0D0D"/>
        </w:rPr>
        <w:t>daya</w:t>
      </w:r>
      <w:r>
        <w:rPr>
          <w:color w:val="0D0D0D"/>
          <w:spacing w:val="-17"/>
        </w:rPr>
        <w:t> </w:t>
      </w:r>
      <w:r>
        <w:rPr>
          <w:color w:val="0D0D0D"/>
        </w:rPr>
        <w:t>serap</w:t>
      </w:r>
      <w:r>
        <w:rPr>
          <w:color w:val="0D0D0D"/>
          <w:spacing w:val="-16"/>
        </w:rPr>
        <w:t> </w:t>
      </w:r>
      <w:r>
        <w:rPr>
          <w:color w:val="0D0D0D"/>
        </w:rPr>
        <w:t>air</w:t>
      </w:r>
      <w:r>
        <w:rPr>
          <w:color w:val="0D0D0D"/>
          <w:spacing w:val="-17"/>
        </w:rPr>
        <w:t> </w:t>
      </w:r>
      <w:r>
        <w:rPr>
          <w:color w:val="0D0D0D"/>
        </w:rPr>
        <w:t>minim</w:t>
      </w:r>
      <w:r>
        <w:rPr>
          <w:color w:val="0D0D0D"/>
          <w:spacing w:val="-15"/>
        </w:rPr>
        <w:t> </w:t>
      </w:r>
      <w:r>
        <w:rPr>
          <w:color w:val="0D0D0D"/>
        </w:rPr>
        <w:t>akibat</w:t>
      </w:r>
      <w:r>
        <w:rPr>
          <w:color w:val="0D0D0D"/>
          <w:spacing w:val="-13"/>
        </w:rPr>
        <w:t> </w:t>
      </w:r>
      <w:r>
        <w:rPr>
          <w:color w:val="0D0D0D"/>
        </w:rPr>
        <w:t>ketiadaan</w:t>
      </w:r>
      <w:r>
        <w:rPr>
          <w:color w:val="0D0D0D"/>
          <w:spacing w:val="-17"/>
        </w:rPr>
        <w:t> </w:t>
      </w:r>
      <w:r>
        <w:rPr>
          <w:color w:val="0D0D0D"/>
        </w:rPr>
        <w:t>vegetasi. Hal ini menggarisbawahi pentingnya kegiatan rehabilitasi dan </w:t>
      </w:r>
      <w:r>
        <w:rPr>
          <w:color w:val="0D0D0D"/>
          <w:spacing w:val="-2"/>
        </w:rPr>
        <w:t>revegetasi.</w:t>
      </w:r>
    </w:p>
    <w:p>
      <w:pPr>
        <w:pStyle w:val="BodyText"/>
        <w:spacing w:line="360" w:lineRule="auto" w:before="3"/>
        <w:ind w:left="1276" w:right="700" w:firstLine="710"/>
      </w:pPr>
      <w:r>
        <w:rPr>
          <w:color w:val="0D0D0D"/>
        </w:rPr>
        <w:t>Pentingnya pendefinisian wilayah terkait erat pada rencana mitigasi dan rehabilitasi lingkungan agar pembangunan IKN dapat berlangsung secara berkelanjutan, meminimalkan dampak negatif bagi Kabupaten Kutai Kartanegara, dan memastikan pelestarian lingkungan dan kesejahteraan masyarakat setempat.</w:t>
      </w:r>
    </w:p>
    <w:p>
      <w:pPr>
        <w:pStyle w:val="BodyText"/>
        <w:spacing w:before="162"/>
        <w:jc w:val="left"/>
      </w:pPr>
    </w:p>
    <w:p>
      <w:pPr>
        <w:pStyle w:val="Heading2"/>
        <w:numPr>
          <w:ilvl w:val="0"/>
          <w:numId w:val="34"/>
        </w:numPr>
        <w:tabs>
          <w:tab w:pos="1842" w:val="left" w:leader="none"/>
        </w:tabs>
        <w:spacing w:line="240" w:lineRule="auto" w:before="0" w:after="0"/>
        <w:ind w:left="1842" w:right="0" w:hanging="566"/>
        <w:jc w:val="both"/>
      </w:pPr>
      <w:r>
        <w:rPr>
          <w:spacing w:val="-2"/>
        </w:rPr>
        <w:t>Kewilayahan</w:t>
      </w:r>
    </w:p>
    <w:p>
      <w:pPr>
        <w:pStyle w:val="BodyText"/>
        <w:spacing w:line="360" w:lineRule="auto" w:before="162"/>
        <w:ind w:left="1843" w:right="710"/>
      </w:pPr>
      <w:r>
        <w:rPr>
          <w:color w:val="0D0D0D"/>
        </w:rPr>
        <w:t>Konsekuensi atas lahirnya Undang Undang Nomor 21 Tahun 2023 adalah terbentuknya kawasan IKN yang secara geografi berlokasi pada Kabupaten Kutai Kartanegara dan Kabupaten Penajam</w:t>
      </w:r>
      <w:r>
        <w:rPr>
          <w:color w:val="0D0D0D"/>
          <w:spacing w:val="-17"/>
        </w:rPr>
        <w:t> </w:t>
      </w:r>
      <w:r>
        <w:rPr>
          <w:color w:val="0D0D0D"/>
        </w:rPr>
        <w:t>Paser</w:t>
      </w:r>
      <w:r>
        <w:rPr>
          <w:color w:val="0D0D0D"/>
          <w:spacing w:val="-16"/>
        </w:rPr>
        <w:t> </w:t>
      </w:r>
      <w:r>
        <w:rPr>
          <w:color w:val="0D0D0D"/>
        </w:rPr>
        <w:t>Utara.</w:t>
      </w:r>
      <w:r>
        <w:rPr>
          <w:color w:val="0D0D0D"/>
          <w:spacing w:val="-17"/>
        </w:rPr>
        <w:t> </w:t>
      </w:r>
      <w:r>
        <w:rPr>
          <w:color w:val="0D0D0D"/>
        </w:rPr>
        <w:t>Delineasi</w:t>
      </w:r>
      <w:r>
        <w:rPr>
          <w:color w:val="0D0D0D"/>
          <w:spacing w:val="-16"/>
        </w:rPr>
        <w:t> </w:t>
      </w:r>
      <w:r>
        <w:rPr>
          <w:color w:val="0D0D0D"/>
        </w:rPr>
        <w:t>batas</w:t>
      </w:r>
      <w:r>
        <w:rPr>
          <w:color w:val="0D0D0D"/>
          <w:spacing w:val="-17"/>
        </w:rPr>
        <w:t> </w:t>
      </w:r>
      <w:r>
        <w:rPr>
          <w:color w:val="0D0D0D"/>
        </w:rPr>
        <w:t>Kawasan</w:t>
      </w:r>
      <w:r>
        <w:rPr>
          <w:color w:val="0D0D0D"/>
          <w:spacing w:val="-16"/>
        </w:rPr>
        <w:t> </w:t>
      </w:r>
      <w:r>
        <w:rPr>
          <w:color w:val="0D0D0D"/>
        </w:rPr>
        <w:t>IKN</w:t>
      </w:r>
      <w:r>
        <w:rPr>
          <w:color w:val="0D0D0D"/>
          <w:spacing w:val="-17"/>
        </w:rPr>
        <w:t> </w:t>
      </w:r>
      <w:r>
        <w:rPr>
          <w:color w:val="0D0D0D"/>
        </w:rPr>
        <w:t>dan</w:t>
      </w:r>
      <w:r>
        <w:rPr>
          <w:color w:val="0D0D0D"/>
          <w:spacing w:val="-16"/>
        </w:rPr>
        <w:t> </w:t>
      </w:r>
      <w:r>
        <w:rPr>
          <w:color w:val="0D0D0D"/>
        </w:rPr>
        <w:t>Kawasan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drawing>
          <wp:anchor distT="0" distB="0" distL="0" distR="0" allowOverlap="1" layoutInCell="1" locked="0" behindDoc="1" simplePos="0" relativeHeight="487591424">
            <wp:simplePos x="0" y="0"/>
            <wp:positionH relativeFrom="page">
              <wp:posOffset>1473200</wp:posOffset>
            </wp:positionH>
            <wp:positionV relativeFrom="paragraph">
              <wp:posOffset>2518791</wp:posOffset>
            </wp:positionV>
            <wp:extent cx="5018125" cy="348615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6" cstate="print"/>
                    <a:stretch>
                      <a:fillRect/>
                    </a:stretch>
                  </pic:blipFill>
                  <pic:spPr>
                    <a:xfrm>
                      <a:off x="0" y="0"/>
                      <a:ext cx="5018125" cy="3486150"/>
                    </a:xfrm>
                    <a:prstGeom prst="rect">
                      <a:avLst/>
                    </a:prstGeom>
                  </pic:spPr>
                </pic:pic>
              </a:graphicData>
            </a:graphic>
          </wp:anchor>
        </w:drawing>
      </w:r>
      <w:r>
        <w:rPr>
          <w:color w:val="0D0D0D"/>
        </w:rPr>
        <w:t>Pengembangan IKN yang bertampalan dengan sejumlah wilayah di Kabupaten Kutai Kartanegara menyebabkan masuknya sejumlah area di 6 kecamatan yakni Kecamatan Samboja, Kecamatan Samboja Barat, Kecamatan Muara Jawa, Kecamatan</w:t>
      </w:r>
      <w:r>
        <w:rPr>
          <w:color w:val="0D0D0D"/>
          <w:spacing w:val="-14"/>
        </w:rPr>
        <w:t> </w:t>
      </w:r>
      <w:r>
        <w:rPr>
          <w:color w:val="0D0D0D"/>
        </w:rPr>
        <w:t>Loa</w:t>
      </w:r>
      <w:r>
        <w:rPr>
          <w:color w:val="0D0D0D"/>
          <w:spacing w:val="-16"/>
        </w:rPr>
        <w:t> </w:t>
      </w:r>
      <w:r>
        <w:rPr>
          <w:color w:val="0D0D0D"/>
        </w:rPr>
        <w:t>Kulu,</w:t>
      </w:r>
      <w:r>
        <w:rPr>
          <w:color w:val="0D0D0D"/>
          <w:spacing w:val="-12"/>
        </w:rPr>
        <w:t> </w:t>
      </w:r>
      <w:r>
        <w:rPr>
          <w:color w:val="0D0D0D"/>
        </w:rPr>
        <w:t>dan</w:t>
      </w:r>
      <w:r>
        <w:rPr>
          <w:color w:val="0D0D0D"/>
          <w:spacing w:val="-15"/>
        </w:rPr>
        <w:t> </w:t>
      </w:r>
      <w:r>
        <w:rPr>
          <w:color w:val="0D0D0D"/>
        </w:rPr>
        <w:t>Kecamatan</w:t>
      </w:r>
      <w:r>
        <w:rPr>
          <w:color w:val="0D0D0D"/>
          <w:spacing w:val="-14"/>
        </w:rPr>
        <w:t> </w:t>
      </w:r>
      <w:r>
        <w:rPr>
          <w:color w:val="0D0D0D"/>
        </w:rPr>
        <w:t>Loa</w:t>
      </w:r>
      <w:r>
        <w:rPr>
          <w:color w:val="0D0D0D"/>
          <w:spacing w:val="-16"/>
        </w:rPr>
        <w:t> </w:t>
      </w:r>
      <w:r>
        <w:rPr>
          <w:color w:val="0D0D0D"/>
        </w:rPr>
        <w:t>Janan.</w:t>
      </w:r>
      <w:r>
        <w:rPr>
          <w:color w:val="0D0D0D"/>
          <w:spacing w:val="-12"/>
        </w:rPr>
        <w:t> </w:t>
      </w:r>
      <w:r>
        <w:rPr>
          <w:color w:val="0D0D0D"/>
        </w:rPr>
        <w:t>Sejalan</w:t>
      </w:r>
      <w:r>
        <w:rPr>
          <w:color w:val="0D0D0D"/>
          <w:spacing w:val="-10"/>
        </w:rPr>
        <w:t> </w:t>
      </w:r>
      <w:r>
        <w:rPr>
          <w:color w:val="0D0D0D"/>
        </w:rPr>
        <w:t>dengan hal</w:t>
      </w:r>
      <w:r>
        <w:rPr>
          <w:color w:val="0D0D0D"/>
          <w:spacing w:val="-9"/>
        </w:rPr>
        <w:t> </w:t>
      </w:r>
      <w:r>
        <w:rPr>
          <w:color w:val="0D0D0D"/>
        </w:rPr>
        <w:t>tersebut,</w:t>
      </w:r>
      <w:r>
        <w:rPr>
          <w:color w:val="0D0D0D"/>
          <w:spacing w:val="-8"/>
        </w:rPr>
        <w:t> </w:t>
      </w:r>
      <w:r>
        <w:rPr>
          <w:color w:val="0D0D0D"/>
        </w:rPr>
        <w:t>tentu</w:t>
      </w:r>
      <w:r>
        <w:rPr>
          <w:color w:val="0D0D0D"/>
          <w:spacing w:val="-10"/>
        </w:rPr>
        <w:t> </w:t>
      </w:r>
      <w:r>
        <w:rPr>
          <w:color w:val="0D0D0D"/>
        </w:rPr>
        <w:t>terjadi</w:t>
      </w:r>
      <w:r>
        <w:rPr>
          <w:color w:val="0D0D0D"/>
          <w:spacing w:val="-7"/>
        </w:rPr>
        <w:t> </w:t>
      </w:r>
      <w:r>
        <w:rPr>
          <w:i/>
          <w:color w:val="0D0D0D"/>
        </w:rPr>
        <w:t>potency</w:t>
      </w:r>
      <w:r>
        <w:rPr>
          <w:i/>
          <w:color w:val="0D0D0D"/>
          <w:spacing w:val="-5"/>
        </w:rPr>
        <w:t> </w:t>
      </w:r>
      <w:r>
        <w:rPr>
          <w:i/>
          <w:color w:val="0D0D0D"/>
        </w:rPr>
        <w:t>loss</w:t>
      </w:r>
      <w:r>
        <w:rPr>
          <w:i/>
          <w:color w:val="0D0D0D"/>
          <w:spacing w:val="-7"/>
        </w:rPr>
        <w:t> </w:t>
      </w:r>
      <w:r>
        <w:rPr>
          <w:color w:val="0D0D0D"/>
        </w:rPr>
        <w:t>atau</w:t>
      </w:r>
      <w:r>
        <w:rPr>
          <w:color w:val="0D0D0D"/>
          <w:spacing w:val="-10"/>
        </w:rPr>
        <w:t> </w:t>
      </w:r>
      <w:r>
        <w:rPr>
          <w:color w:val="0D0D0D"/>
        </w:rPr>
        <w:t>kehilangansejumlah potensi fisik lingkungan dan sumberdaya alam yang dimiliki Kabupaten Kutai Kartanegara.</w:t>
      </w:r>
    </w:p>
    <w:p>
      <w:pPr>
        <w:spacing w:line="237" w:lineRule="auto" w:before="52"/>
        <w:ind w:left="3486" w:right="720" w:hanging="2603"/>
        <w:jc w:val="left"/>
        <w:rPr>
          <w:rFonts w:ascii="Lucida Sans Unicode"/>
          <w:sz w:val="22"/>
        </w:rPr>
      </w:pPr>
      <w:bookmarkStart w:name="_bookmark60" w:id="61"/>
      <w:bookmarkEnd w:id="61"/>
      <w:r>
        <w:rPr/>
      </w:r>
      <w:r>
        <w:rPr>
          <w:rFonts w:ascii="Tahoma"/>
          <w:b/>
          <w:w w:val="105"/>
          <w:sz w:val="22"/>
        </w:rPr>
        <w:t>Gambar</w:t>
      </w:r>
      <w:r>
        <w:rPr>
          <w:rFonts w:ascii="Tahoma"/>
          <w:b/>
          <w:spacing w:val="-12"/>
          <w:w w:val="105"/>
          <w:sz w:val="22"/>
        </w:rPr>
        <w:t> </w:t>
      </w:r>
      <w:r>
        <w:rPr>
          <w:rFonts w:ascii="Tahoma"/>
          <w:b/>
          <w:w w:val="105"/>
          <w:sz w:val="22"/>
        </w:rPr>
        <w:t>9.</w:t>
      </w:r>
      <w:r>
        <w:rPr>
          <w:rFonts w:ascii="Tahoma"/>
          <w:b/>
          <w:spacing w:val="-10"/>
          <w:w w:val="105"/>
          <w:sz w:val="22"/>
        </w:rPr>
        <w:t> </w:t>
      </w:r>
      <w:r>
        <w:rPr>
          <w:rFonts w:ascii="Lucida Sans Unicode"/>
          <w:w w:val="105"/>
          <w:sz w:val="22"/>
        </w:rPr>
        <w:t>Enam</w:t>
      </w:r>
      <w:r>
        <w:rPr>
          <w:rFonts w:ascii="Lucida Sans Unicode"/>
          <w:spacing w:val="-6"/>
          <w:w w:val="105"/>
          <w:sz w:val="22"/>
        </w:rPr>
        <w:t> </w:t>
      </w:r>
      <w:r>
        <w:rPr>
          <w:rFonts w:ascii="Lucida Sans Unicode"/>
          <w:w w:val="105"/>
          <w:sz w:val="22"/>
        </w:rPr>
        <w:t>kecamatan</w:t>
      </w:r>
      <w:r>
        <w:rPr>
          <w:rFonts w:ascii="Lucida Sans Unicode"/>
          <w:spacing w:val="-1"/>
          <w:w w:val="105"/>
          <w:sz w:val="22"/>
        </w:rPr>
        <w:t> </w:t>
      </w:r>
      <w:r>
        <w:rPr>
          <w:rFonts w:ascii="Lucida Sans Unicode"/>
          <w:w w:val="105"/>
          <w:sz w:val="22"/>
        </w:rPr>
        <w:t>di</w:t>
      </w:r>
      <w:r>
        <w:rPr>
          <w:rFonts w:ascii="Lucida Sans Unicode"/>
          <w:spacing w:val="-6"/>
          <w:w w:val="105"/>
          <w:sz w:val="22"/>
        </w:rPr>
        <w:t> </w:t>
      </w:r>
      <w:r>
        <w:rPr>
          <w:rFonts w:ascii="Lucida Sans Unicode"/>
          <w:w w:val="105"/>
          <w:sz w:val="22"/>
        </w:rPr>
        <w:t>Kabupaten</w:t>
      </w:r>
      <w:r>
        <w:rPr>
          <w:rFonts w:ascii="Lucida Sans Unicode"/>
          <w:spacing w:val="-1"/>
          <w:w w:val="105"/>
          <w:sz w:val="22"/>
        </w:rPr>
        <w:t> </w:t>
      </w:r>
      <w:r>
        <w:rPr>
          <w:rFonts w:ascii="Lucida Sans Unicode"/>
          <w:w w:val="105"/>
          <w:sz w:val="22"/>
        </w:rPr>
        <w:t>Kutai</w:t>
      </w:r>
      <w:r>
        <w:rPr>
          <w:rFonts w:ascii="Lucida Sans Unicode"/>
          <w:spacing w:val="-2"/>
          <w:w w:val="105"/>
          <w:sz w:val="22"/>
        </w:rPr>
        <w:t> </w:t>
      </w:r>
      <w:r>
        <w:rPr>
          <w:rFonts w:ascii="Lucida Sans Unicode"/>
          <w:w w:val="105"/>
          <w:sz w:val="22"/>
        </w:rPr>
        <w:t>Kartanegara</w:t>
      </w:r>
      <w:r>
        <w:rPr>
          <w:rFonts w:ascii="Lucida Sans Unicode"/>
          <w:spacing w:val="-3"/>
          <w:w w:val="105"/>
          <w:sz w:val="22"/>
        </w:rPr>
        <w:t> </w:t>
      </w:r>
      <w:r>
        <w:rPr>
          <w:rFonts w:ascii="Lucida Sans Unicode"/>
          <w:w w:val="105"/>
          <w:sz w:val="22"/>
        </w:rPr>
        <w:t>dan Batas Kawasan IKN</w:t>
      </w:r>
    </w:p>
    <w:p>
      <w:pPr>
        <w:pStyle w:val="BodyText"/>
        <w:spacing w:before="162"/>
        <w:jc w:val="left"/>
        <w:rPr>
          <w:rFonts w:ascii="Lucida Sans Unicode"/>
          <w:sz w:val="22"/>
        </w:rPr>
      </w:pPr>
    </w:p>
    <w:p>
      <w:pPr>
        <w:pStyle w:val="BodyText"/>
        <w:spacing w:line="360" w:lineRule="auto" w:before="1"/>
        <w:ind w:left="1843" w:right="704"/>
      </w:pPr>
      <w:r>
        <w:rPr>
          <w:color w:val="0D0D0D"/>
        </w:rPr>
        <w:t>Hasil </w:t>
      </w:r>
      <w:r>
        <w:rPr>
          <w:i/>
          <w:color w:val="0D0D0D"/>
        </w:rPr>
        <w:t>overlay </w:t>
      </w:r>
      <w:r>
        <w:rPr>
          <w:color w:val="0D0D0D"/>
        </w:rPr>
        <w:t>peta batas kawasan IKN terhadap wilayah administratif level kelurahan/desa di Kabupaten Kutai Kartanegara didapati 39 Desa/Kelurahan dalam 6 kecamatan yang</w:t>
      </w:r>
      <w:r>
        <w:rPr>
          <w:color w:val="0D0D0D"/>
          <w:spacing w:val="-17"/>
        </w:rPr>
        <w:t> </w:t>
      </w:r>
      <w:r>
        <w:rPr>
          <w:color w:val="0D0D0D"/>
        </w:rPr>
        <w:t>masuk</w:t>
      </w:r>
      <w:r>
        <w:rPr>
          <w:color w:val="0D0D0D"/>
          <w:spacing w:val="-16"/>
        </w:rPr>
        <w:t> </w:t>
      </w:r>
      <w:r>
        <w:rPr>
          <w:color w:val="0D0D0D"/>
        </w:rPr>
        <w:t>ke</w:t>
      </w:r>
      <w:r>
        <w:rPr>
          <w:color w:val="0D0D0D"/>
          <w:spacing w:val="-17"/>
        </w:rPr>
        <w:t> </w:t>
      </w:r>
      <w:r>
        <w:rPr>
          <w:color w:val="0D0D0D"/>
        </w:rPr>
        <w:t>kawasan</w:t>
      </w:r>
      <w:r>
        <w:rPr>
          <w:color w:val="0D0D0D"/>
          <w:spacing w:val="-16"/>
        </w:rPr>
        <w:t> </w:t>
      </w:r>
      <w:r>
        <w:rPr>
          <w:color w:val="0D0D0D"/>
        </w:rPr>
        <w:t>IKN.</w:t>
      </w:r>
      <w:r>
        <w:rPr>
          <w:color w:val="0D0D0D"/>
          <w:spacing w:val="-17"/>
        </w:rPr>
        <w:t> </w:t>
      </w:r>
      <w:r>
        <w:rPr>
          <w:color w:val="0D0D0D"/>
        </w:rPr>
        <w:t>Penarikan</w:t>
      </w:r>
      <w:r>
        <w:rPr>
          <w:color w:val="0D0D0D"/>
          <w:spacing w:val="-16"/>
        </w:rPr>
        <w:t> </w:t>
      </w:r>
      <w:r>
        <w:rPr>
          <w:color w:val="0D0D0D"/>
        </w:rPr>
        <w:t>batas</w:t>
      </w:r>
      <w:r>
        <w:rPr>
          <w:color w:val="0D0D0D"/>
          <w:spacing w:val="-17"/>
        </w:rPr>
        <w:t> </w:t>
      </w:r>
      <w:r>
        <w:rPr>
          <w:color w:val="0D0D0D"/>
        </w:rPr>
        <w:t>kawasan</w:t>
      </w:r>
      <w:r>
        <w:rPr>
          <w:color w:val="0D0D0D"/>
          <w:spacing w:val="-16"/>
        </w:rPr>
        <w:t> </w:t>
      </w:r>
      <w:r>
        <w:rPr>
          <w:color w:val="0D0D0D"/>
        </w:rPr>
        <w:t>IKN</w:t>
      </w:r>
      <w:r>
        <w:rPr>
          <w:color w:val="0D0D0D"/>
          <w:spacing w:val="-16"/>
        </w:rPr>
        <w:t> </w:t>
      </w:r>
      <w:r>
        <w:rPr>
          <w:color w:val="0D0D0D"/>
        </w:rPr>
        <w:t>pada kenyataannya dilakukan tidak menyelaraskan dengan batas desa/kelurahan yang telah ditetapkan terlebih dahulu. Hal ini</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0"/>
      </w:pPr>
      <w:r>
        <w:rPr/>
        <w:drawing>
          <wp:anchor distT="0" distB="0" distL="0" distR="0" allowOverlap="1" layoutInCell="1" locked="0" behindDoc="1" simplePos="0" relativeHeight="487591936">
            <wp:simplePos x="0" y="0"/>
            <wp:positionH relativeFrom="page">
              <wp:posOffset>1473200</wp:posOffset>
            </wp:positionH>
            <wp:positionV relativeFrom="paragraph">
              <wp:posOffset>1302766</wp:posOffset>
            </wp:positionV>
            <wp:extent cx="5018125" cy="348615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7" cstate="print"/>
                    <a:stretch>
                      <a:fillRect/>
                    </a:stretch>
                  </pic:blipFill>
                  <pic:spPr>
                    <a:xfrm>
                      <a:off x="0" y="0"/>
                      <a:ext cx="5018125" cy="3486150"/>
                    </a:xfrm>
                    <a:prstGeom prst="rect">
                      <a:avLst/>
                    </a:prstGeom>
                  </pic:spPr>
                </pic:pic>
              </a:graphicData>
            </a:graphic>
          </wp:anchor>
        </w:drawing>
      </w:r>
      <w:r>
        <w:rPr>
          <w:color w:val="0D0D0D"/>
        </w:rPr>
        <w:t>akan memunculkan pekerjaan baru yang harus diselesaikan yakni terkait penataan ulang batas wilayah administratif level desa/kelurahan, kecamatan, hingga kabupaten di Kabupaten Kutai Kartanegara.</w:t>
      </w:r>
    </w:p>
    <w:p>
      <w:pPr>
        <w:spacing w:before="48"/>
        <w:ind w:left="2746" w:right="600" w:hanging="2171"/>
        <w:jc w:val="left"/>
        <w:rPr>
          <w:rFonts w:ascii="Lucida Sans Unicode"/>
          <w:sz w:val="22"/>
        </w:rPr>
      </w:pPr>
      <w:bookmarkStart w:name="_bookmark61" w:id="62"/>
      <w:bookmarkEnd w:id="62"/>
      <w:r>
        <w:rPr/>
      </w:r>
      <w:r>
        <w:rPr>
          <w:rFonts w:ascii="Tahoma"/>
          <w:b/>
          <w:sz w:val="22"/>
        </w:rPr>
        <w:t>Gambar 10. </w:t>
      </w:r>
      <w:r>
        <w:rPr>
          <w:rFonts w:ascii="Lucida Sans Unicode"/>
          <w:sz w:val="22"/>
        </w:rPr>
        <w:t>Lokasi 39 Kelurahan/Desa pada 6 Kecamatan di Kabupaten Kutai Kartanegara di wilayah IKN</w:t>
      </w:r>
    </w:p>
    <w:p>
      <w:pPr>
        <w:pStyle w:val="BodyText"/>
        <w:jc w:val="left"/>
        <w:rPr>
          <w:rFonts w:ascii="Lucida Sans Unicode"/>
          <w:sz w:val="22"/>
        </w:rPr>
      </w:pPr>
    </w:p>
    <w:p>
      <w:pPr>
        <w:pStyle w:val="BodyText"/>
        <w:spacing w:before="310"/>
        <w:jc w:val="left"/>
        <w:rPr>
          <w:rFonts w:ascii="Lucida Sans Unicode"/>
          <w:sz w:val="22"/>
        </w:rPr>
      </w:pPr>
    </w:p>
    <w:p>
      <w:pPr>
        <w:pStyle w:val="BodyText"/>
        <w:spacing w:line="360" w:lineRule="auto"/>
        <w:ind w:left="1843" w:right="699"/>
      </w:pPr>
      <w:r>
        <w:rPr>
          <w:color w:val="0D0D0D"/>
        </w:rPr>
        <w:t>Sebanyak 39 </w:t>
      </w:r>
      <w:r>
        <w:rPr/>
        <w:t>Kelurahan</w:t>
      </w:r>
      <w:r>
        <w:rPr>
          <w:color w:val="0D0D0D"/>
        </w:rPr>
        <w:t>/Desa yang masuk ke dalam Kawasan IKN, secara</w:t>
      </w:r>
      <w:r>
        <w:rPr>
          <w:color w:val="0D0D0D"/>
          <w:spacing w:val="-3"/>
        </w:rPr>
        <w:t> </w:t>
      </w:r>
      <w:r>
        <w:rPr>
          <w:color w:val="0D0D0D"/>
        </w:rPr>
        <w:t>terperinci</w:t>
      </w:r>
      <w:r>
        <w:rPr>
          <w:color w:val="0D0D0D"/>
          <w:spacing w:val="-1"/>
        </w:rPr>
        <w:t> </w:t>
      </w:r>
      <w:r>
        <w:rPr>
          <w:color w:val="0D0D0D"/>
        </w:rPr>
        <w:t>dijabarkan dalam</w:t>
      </w:r>
      <w:r>
        <w:rPr>
          <w:color w:val="0D0D0D"/>
          <w:spacing w:val="-1"/>
        </w:rPr>
        <w:t> </w:t>
      </w:r>
      <w:r>
        <w:rPr>
          <w:color w:val="0D0D0D"/>
        </w:rPr>
        <w:t>Gambar</w:t>
      </w:r>
      <w:r>
        <w:rPr>
          <w:color w:val="0D0D0D"/>
          <w:spacing w:val="-2"/>
        </w:rPr>
        <w:t> </w:t>
      </w:r>
      <w:r>
        <w:rPr>
          <w:color w:val="0D0D0D"/>
        </w:rPr>
        <w:t>10. Kecamatan Samboja dan Kecamatan Samboja Barat yang memiliki 19 Kelurahan dan 4 Desa masuk ke Kawasan IKN secara menyeluruh.</w:t>
      </w:r>
      <w:r>
        <w:rPr>
          <w:color w:val="0D0D0D"/>
          <w:spacing w:val="-4"/>
        </w:rPr>
        <w:t> </w:t>
      </w:r>
      <w:r>
        <w:rPr>
          <w:color w:val="0D0D0D"/>
        </w:rPr>
        <w:t>Estimasi</w:t>
      </w:r>
      <w:r>
        <w:rPr>
          <w:color w:val="0D0D0D"/>
          <w:spacing w:val="-5"/>
        </w:rPr>
        <w:t> </w:t>
      </w:r>
      <w:r>
        <w:rPr>
          <w:color w:val="0D0D0D"/>
        </w:rPr>
        <w:t>luas</w:t>
      </w:r>
      <w:r>
        <w:rPr>
          <w:color w:val="0D0D0D"/>
          <w:spacing w:val="-5"/>
        </w:rPr>
        <w:t> </w:t>
      </w:r>
      <w:r>
        <w:rPr>
          <w:color w:val="0D0D0D"/>
        </w:rPr>
        <w:t>wilayah</w:t>
      </w:r>
      <w:r>
        <w:rPr>
          <w:color w:val="0D0D0D"/>
          <w:spacing w:val="-6"/>
        </w:rPr>
        <w:t> </w:t>
      </w:r>
      <w:r>
        <w:rPr>
          <w:color w:val="0D0D0D"/>
        </w:rPr>
        <w:t>per</w:t>
      </w:r>
      <w:r>
        <w:rPr>
          <w:color w:val="0D0D0D"/>
          <w:spacing w:val="-2"/>
        </w:rPr>
        <w:t> </w:t>
      </w:r>
      <w:r>
        <w:rPr>
          <w:color w:val="0D0D0D"/>
        </w:rPr>
        <w:t>kecamatan</w:t>
      </w:r>
      <w:r>
        <w:rPr>
          <w:color w:val="0D0D0D"/>
          <w:spacing w:val="-6"/>
        </w:rPr>
        <w:t> </w:t>
      </w:r>
      <w:r>
        <w:rPr>
          <w:color w:val="0D0D0D"/>
        </w:rPr>
        <w:t>di</w:t>
      </w:r>
      <w:r>
        <w:rPr>
          <w:color w:val="0D0D0D"/>
          <w:spacing w:val="-5"/>
        </w:rPr>
        <w:t> </w:t>
      </w:r>
      <w:r>
        <w:rPr>
          <w:color w:val="0D0D0D"/>
        </w:rPr>
        <w:t>Kabupaten Kutai Kartanegara yang masuk ke kawasan IKN ditampilkan dalam</w:t>
      </w:r>
      <w:r>
        <w:rPr>
          <w:color w:val="0D0D0D"/>
          <w:spacing w:val="-9"/>
        </w:rPr>
        <w:t> </w:t>
      </w:r>
      <w:r>
        <w:rPr>
          <w:color w:val="0D0D0D"/>
        </w:rPr>
        <w:t>Tabel</w:t>
      </w:r>
      <w:r>
        <w:rPr>
          <w:color w:val="0D0D0D"/>
          <w:spacing w:val="-13"/>
        </w:rPr>
        <w:t> </w:t>
      </w:r>
      <w:r>
        <w:rPr>
          <w:color w:val="0D0D0D"/>
        </w:rPr>
        <w:t>13.</w:t>
      </w:r>
      <w:r>
        <w:rPr>
          <w:color w:val="0D0D0D"/>
          <w:spacing w:val="-13"/>
        </w:rPr>
        <w:t> </w:t>
      </w:r>
      <w:r>
        <w:rPr>
          <w:color w:val="0D0D0D"/>
        </w:rPr>
        <w:t>Estimasi</w:t>
      </w:r>
      <w:r>
        <w:rPr>
          <w:color w:val="0D0D0D"/>
          <w:spacing w:val="-14"/>
        </w:rPr>
        <w:t> </w:t>
      </w:r>
      <w:r>
        <w:rPr>
          <w:color w:val="0D0D0D"/>
        </w:rPr>
        <w:t>luas</w:t>
      </w:r>
      <w:r>
        <w:rPr>
          <w:color w:val="0D0D0D"/>
          <w:spacing w:val="-14"/>
        </w:rPr>
        <w:t> </w:t>
      </w:r>
      <w:r>
        <w:rPr>
          <w:color w:val="0D0D0D"/>
        </w:rPr>
        <w:t>wilayah</w:t>
      </w:r>
      <w:r>
        <w:rPr>
          <w:color w:val="0D0D0D"/>
          <w:spacing w:val="-14"/>
        </w:rPr>
        <w:t> </w:t>
      </w:r>
      <w:r>
        <w:rPr>
          <w:color w:val="0D0D0D"/>
        </w:rPr>
        <w:t>dari</w:t>
      </w:r>
      <w:r>
        <w:rPr>
          <w:color w:val="0D0D0D"/>
          <w:spacing w:val="-14"/>
        </w:rPr>
        <w:t> </w:t>
      </w:r>
      <w:r>
        <w:rPr>
          <w:color w:val="0D0D0D"/>
        </w:rPr>
        <w:t>6</w:t>
      </w:r>
      <w:r>
        <w:rPr>
          <w:color w:val="0D0D0D"/>
          <w:spacing w:val="-13"/>
        </w:rPr>
        <w:t> </w:t>
      </w:r>
      <w:r>
        <w:rPr>
          <w:color w:val="0D0D0D"/>
        </w:rPr>
        <w:t>kecamatan</w:t>
      </w:r>
      <w:r>
        <w:rPr>
          <w:color w:val="0D0D0D"/>
          <w:spacing w:val="-14"/>
        </w:rPr>
        <w:t> </w:t>
      </w:r>
      <w:r>
        <w:rPr>
          <w:color w:val="0D0D0D"/>
        </w:rPr>
        <w:t>dihitung dengan</w:t>
      </w:r>
      <w:r>
        <w:rPr>
          <w:color w:val="0D0D0D"/>
          <w:spacing w:val="-8"/>
        </w:rPr>
        <w:t> </w:t>
      </w:r>
      <w:r>
        <w:rPr>
          <w:color w:val="0D0D0D"/>
        </w:rPr>
        <w:t>proyeksi</w:t>
      </w:r>
      <w:r>
        <w:rPr>
          <w:color w:val="0D0D0D"/>
          <w:spacing w:val="-8"/>
        </w:rPr>
        <w:t> </w:t>
      </w:r>
      <w:r>
        <w:rPr>
          <w:color w:val="0D0D0D"/>
        </w:rPr>
        <w:t>“</w:t>
      </w:r>
      <w:r>
        <w:rPr>
          <w:i/>
          <w:color w:val="0D0D0D"/>
        </w:rPr>
        <w:t>cylindriqal</w:t>
      </w:r>
      <w:r>
        <w:rPr>
          <w:i/>
          <w:color w:val="0D0D0D"/>
          <w:spacing w:val="-7"/>
        </w:rPr>
        <w:t> </w:t>
      </w:r>
      <w:r>
        <w:rPr>
          <w:i/>
          <w:color w:val="0D0D0D"/>
        </w:rPr>
        <w:t>equal</w:t>
      </w:r>
      <w:r>
        <w:rPr>
          <w:i/>
          <w:color w:val="0D0D0D"/>
          <w:spacing w:val="-12"/>
        </w:rPr>
        <w:t> </w:t>
      </w:r>
      <w:r>
        <w:rPr>
          <w:i/>
          <w:color w:val="0D0D0D"/>
        </w:rPr>
        <w:t>Area</w:t>
      </w:r>
      <w:r>
        <w:rPr>
          <w:color w:val="0D0D0D"/>
        </w:rPr>
        <w:t>”.</w:t>
      </w:r>
      <w:r>
        <w:rPr>
          <w:color w:val="0D0D0D"/>
          <w:spacing w:val="-7"/>
        </w:rPr>
        <w:t> </w:t>
      </w:r>
      <w:r>
        <w:rPr>
          <w:color w:val="0D0D0D"/>
        </w:rPr>
        <w:t>Pemilihan</w:t>
      </w:r>
      <w:r>
        <w:rPr>
          <w:color w:val="0D0D0D"/>
          <w:spacing w:val="-8"/>
        </w:rPr>
        <w:t> </w:t>
      </w:r>
      <w:r>
        <w:rPr>
          <w:color w:val="0D0D0D"/>
        </w:rPr>
        <w:t>proyeksi</w:t>
      </w:r>
      <w:r>
        <w:rPr>
          <w:color w:val="0D0D0D"/>
          <w:spacing w:val="-8"/>
        </w:rPr>
        <w:t> </w:t>
      </w:r>
      <w:r>
        <w:rPr>
          <w:color w:val="0D0D0D"/>
        </w:rPr>
        <w:t>ini didasarkan pada sistem proyeksi tersebut yang menyajikan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4"/>
      </w:pPr>
      <w:r>
        <w:rPr>
          <w:color w:val="0D0D0D"/>
        </w:rPr>
        <w:t>dunia</w:t>
      </w:r>
      <w:r>
        <w:rPr>
          <w:color w:val="0D0D0D"/>
          <w:spacing w:val="-5"/>
        </w:rPr>
        <w:t> </w:t>
      </w:r>
      <w:r>
        <w:rPr>
          <w:color w:val="0D0D0D"/>
        </w:rPr>
        <w:t>dalam</w:t>
      </w:r>
      <w:r>
        <w:rPr>
          <w:color w:val="0D0D0D"/>
          <w:spacing w:val="-4"/>
        </w:rPr>
        <w:t> </w:t>
      </w:r>
      <w:r>
        <w:rPr>
          <w:color w:val="0D0D0D"/>
        </w:rPr>
        <w:t>bidang</w:t>
      </w:r>
      <w:r>
        <w:rPr>
          <w:color w:val="0D0D0D"/>
          <w:spacing w:val="-5"/>
        </w:rPr>
        <w:t> </w:t>
      </w:r>
      <w:r>
        <w:rPr>
          <w:color w:val="0D0D0D"/>
        </w:rPr>
        <w:t>datar</w:t>
      </w:r>
      <w:r>
        <w:rPr>
          <w:color w:val="0D0D0D"/>
          <w:spacing w:val="-5"/>
        </w:rPr>
        <w:t> </w:t>
      </w:r>
      <w:r>
        <w:rPr>
          <w:color w:val="0D0D0D"/>
        </w:rPr>
        <w:t>dengan</w:t>
      </w:r>
      <w:r>
        <w:rPr>
          <w:color w:val="0D0D0D"/>
          <w:spacing w:val="-5"/>
        </w:rPr>
        <w:t> </w:t>
      </w:r>
      <w:r>
        <w:rPr>
          <w:color w:val="0D0D0D"/>
        </w:rPr>
        <w:t>tetap</w:t>
      </w:r>
      <w:r>
        <w:rPr>
          <w:color w:val="0D0D0D"/>
          <w:spacing w:val="-5"/>
        </w:rPr>
        <w:t> </w:t>
      </w:r>
      <w:r>
        <w:rPr>
          <w:color w:val="0D0D0D"/>
        </w:rPr>
        <w:t>mempertahankan</w:t>
      </w:r>
      <w:r>
        <w:rPr>
          <w:color w:val="0D0D0D"/>
          <w:spacing w:val="-5"/>
        </w:rPr>
        <w:t> </w:t>
      </w:r>
      <w:r>
        <w:rPr>
          <w:color w:val="0D0D0D"/>
        </w:rPr>
        <w:t>area relatif</w:t>
      </w:r>
      <w:r>
        <w:rPr>
          <w:color w:val="0D0D0D"/>
          <w:spacing w:val="-17"/>
        </w:rPr>
        <w:t> </w:t>
      </w:r>
      <w:r>
        <w:rPr>
          <w:color w:val="0D0D0D"/>
        </w:rPr>
        <w:t>pada</w:t>
      </w:r>
      <w:r>
        <w:rPr>
          <w:color w:val="0D0D0D"/>
          <w:spacing w:val="-16"/>
        </w:rPr>
        <w:t> </w:t>
      </w:r>
      <w:r>
        <w:rPr>
          <w:color w:val="0D0D0D"/>
        </w:rPr>
        <w:t>peta.</w:t>
      </w:r>
      <w:r>
        <w:rPr>
          <w:color w:val="0D0D0D"/>
          <w:spacing w:val="-17"/>
        </w:rPr>
        <w:t> </w:t>
      </w:r>
      <w:r>
        <w:rPr>
          <w:color w:val="0D0D0D"/>
        </w:rPr>
        <w:t>Proyeksi</w:t>
      </w:r>
      <w:r>
        <w:rPr>
          <w:color w:val="0D0D0D"/>
          <w:spacing w:val="-16"/>
        </w:rPr>
        <w:t> </w:t>
      </w:r>
      <w:r>
        <w:rPr>
          <w:color w:val="0D0D0D"/>
        </w:rPr>
        <w:t>ini</w:t>
      </w:r>
      <w:r>
        <w:rPr>
          <w:color w:val="0D0D0D"/>
          <w:spacing w:val="-17"/>
        </w:rPr>
        <w:t> </w:t>
      </w:r>
      <w:r>
        <w:rPr>
          <w:color w:val="0D0D0D"/>
        </w:rPr>
        <w:t>sesuai</w:t>
      </w:r>
      <w:r>
        <w:rPr>
          <w:color w:val="0D0D0D"/>
          <w:spacing w:val="-16"/>
        </w:rPr>
        <w:t> </w:t>
      </w:r>
      <w:r>
        <w:rPr>
          <w:color w:val="0D0D0D"/>
        </w:rPr>
        <w:t>untuk</w:t>
      </w:r>
      <w:r>
        <w:rPr>
          <w:color w:val="0D0D0D"/>
          <w:spacing w:val="-17"/>
        </w:rPr>
        <w:t> </w:t>
      </w:r>
      <w:r>
        <w:rPr>
          <w:color w:val="0D0D0D"/>
        </w:rPr>
        <w:t>pemetaan</w:t>
      </w:r>
      <w:r>
        <w:rPr>
          <w:color w:val="0D0D0D"/>
          <w:spacing w:val="-16"/>
        </w:rPr>
        <w:t> </w:t>
      </w:r>
      <w:r>
        <w:rPr>
          <w:color w:val="0D0D0D"/>
        </w:rPr>
        <w:t>skala</w:t>
      </w:r>
      <w:r>
        <w:rPr>
          <w:color w:val="0D0D0D"/>
          <w:spacing w:val="-16"/>
        </w:rPr>
        <w:t> </w:t>
      </w:r>
      <w:r>
        <w:rPr>
          <w:color w:val="0D0D0D"/>
        </w:rPr>
        <w:t>besar di daerah dekat khatulistiwa seperti Indonesia dan sebagian Samudra Pasifik (Tobler &amp; Chen, 1986).</w:t>
      </w:r>
    </w:p>
    <w:p>
      <w:pPr>
        <w:spacing w:line="235" w:lineRule="auto" w:before="18"/>
        <w:ind w:left="1310" w:right="720" w:hanging="293"/>
        <w:jc w:val="left"/>
        <w:rPr>
          <w:rFonts w:ascii="Lucida Sans Unicode"/>
          <w:sz w:val="22"/>
        </w:rPr>
      </w:pPr>
      <w:bookmarkStart w:name="_bookmark62" w:id="63"/>
      <w:bookmarkEnd w:id="63"/>
      <w:r>
        <w:rPr/>
      </w:r>
      <w:r>
        <w:rPr>
          <w:rFonts w:ascii="Tahoma"/>
          <w:b/>
          <w:sz w:val="22"/>
        </w:rPr>
        <w:t>Tabel 13. </w:t>
      </w:r>
      <w:r>
        <w:rPr>
          <w:rFonts w:ascii="Lucida Sans Unicode"/>
          <w:sz w:val="22"/>
        </w:rPr>
        <w:t>Estimasi luas wilayah 6 kecamatan di Kabupaten Kutai Kartanegara</w:t>
      </w:r>
      <w:r>
        <w:rPr>
          <w:rFonts w:ascii="Lucida Sans Unicode"/>
          <w:spacing w:val="40"/>
          <w:sz w:val="22"/>
        </w:rPr>
        <w:t> </w:t>
      </w:r>
      <w:r>
        <w:rPr>
          <w:rFonts w:ascii="Lucida Sans Unicode"/>
          <w:sz w:val="22"/>
        </w:rPr>
        <w:t>yang</w:t>
      </w:r>
      <w:r>
        <w:rPr>
          <w:rFonts w:ascii="Lucida Sans Unicode"/>
          <w:spacing w:val="40"/>
          <w:sz w:val="22"/>
        </w:rPr>
        <w:t> </w:t>
      </w:r>
      <w:r>
        <w:rPr>
          <w:rFonts w:ascii="Lucida Sans Unicode"/>
          <w:sz w:val="22"/>
        </w:rPr>
        <w:t>masuk</w:t>
      </w:r>
      <w:r>
        <w:rPr>
          <w:rFonts w:ascii="Lucida Sans Unicode"/>
          <w:spacing w:val="40"/>
          <w:sz w:val="22"/>
        </w:rPr>
        <w:t> </w:t>
      </w:r>
      <w:r>
        <w:rPr>
          <w:rFonts w:ascii="Lucida Sans Unicode"/>
          <w:sz w:val="22"/>
        </w:rPr>
        <w:t>ke</w:t>
      </w:r>
      <w:r>
        <w:rPr>
          <w:rFonts w:ascii="Lucida Sans Unicode"/>
          <w:spacing w:val="40"/>
          <w:sz w:val="22"/>
        </w:rPr>
        <w:t> </w:t>
      </w:r>
      <w:r>
        <w:rPr>
          <w:rFonts w:ascii="Lucida Sans Unicode"/>
          <w:sz w:val="22"/>
        </w:rPr>
        <w:t>Kawasan</w:t>
      </w:r>
      <w:r>
        <w:rPr>
          <w:rFonts w:ascii="Lucida Sans Unicode"/>
          <w:spacing w:val="40"/>
          <w:sz w:val="22"/>
        </w:rPr>
        <w:t> </w:t>
      </w:r>
      <w:r>
        <w:rPr>
          <w:rFonts w:ascii="Lucida Sans Unicode"/>
          <w:sz w:val="22"/>
        </w:rPr>
        <w:t>Pengembangan</w:t>
      </w:r>
      <w:r>
        <w:rPr>
          <w:rFonts w:ascii="Lucida Sans Unicode"/>
          <w:spacing w:val="40"/>
          <w:sz w:val="22"/>
        </w:rPr>
        <w:t> </w:t>
      </w:r>
      <w:r>
        <w:rPr>
          <w:rFonts w:ascii="Lucida Sans Unicode"/>
          <w:sz w:val="22"/>
        </w:rPr>
        <w:t>IKN</w:t>
      </w:r>
    </w:p>
    <w:p>
      <w:pPr>
        <w:pStyle w:val="BodyText"/>
        <w:spacing w:before="15"/>
        <w:jc w:val="left"/>
        <w:rPr>
          <w:rFonts w:ascii="Lucida Sans Unicode"/>
          <w:sz w:val="11"/>
        </w:rPr>
      </w:pPr>
    </w:p>
    <w:tbl>
      <w:tblPr>
        <w:tblW w:w="0" w:type="auto"/>
        <w:jc w:val="left"/>
        <w:tblInd w:w="1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6"/>
        <w:gridCol w:w="1704"/>
        <w:gridCol w:w="1699"/>
        <w:gridCol w:w="1699"/>
        <w:gridCol w:w="1276"/>
      </w:tblGrid>
      <w:tr>
        <w:trPr>
          <w:trHeight w:val="560" w:hRule="atLeast"/>
        </w:trPr>
        <w:tc>
          <w:tcPr>
            <w:tcW w:w="566" w:type="dxa"/>
            <w:vMerge w:val="restart"/>
            <w:tcBorders>
              <w:right w:val="single" w:sz="4" w:space="0" w:color="000000"/>
            </w:tcBorders>
            <w:shd w:val="clear" w:color="auto" w:fill="00AEEE"/>
          </w:tcPr>
          <w:p>
            <w:pPr>
              <w:pStyle w:val="TableParagraph"/>
              <w:spacing w:before="319"/>
              <w:ind w:left="138"/>
              <w:rPr>
                <w:b/>
                <w:sz w:val="22"/>
              </w:rPr>
            </w:pPr>
            <w:r>
              <w:rPr>
                <w:b/>
                <w:color w:val="0D0D0D"/>
                <w:spacing w:val="-5"/>
                <w:sz w:val="22"/>
              </w:rPr>
              <w:t>No</w:t>
            </w:r>
          </w:p>
        </w:tc>
        <w:tc>
          <w:tcPr>
            <w:tcW w:w="1704" w:type="dxa"/>
            <w:vMerge w:val="restart"/>
            <w:tcBorders>
              <w:left w:val="single" w:sz="4" w:space="0" w:color="000000"/>
              <w:right w:val="single" w:sz="4" w:space="0" w:color="000000"/>
            </w:tcBorders>
            <w:shd w:val="clear" w:color="auto" w:fill="00AEEE"/>
          </w:tcPr>
          <w:p>
            <w:pPr>
              <w:pStyle w:val="TableParagraph"/>
              <w:spacing w:before="319"/>
              <w:ind w:left="293"/>
              <w:rPr>
                <w:b/>
                <w:sz w:val="22"/>
              </w:rPr>
            </w:pPr>
            <w:r>
              <w:rPr>
                <w:b/>
                <w:color w:val="0D0D0D"/>
                <w:spacing w:val="-2"/>
                <w:sz w:val="22"/>
              </w:rPr>
              <w:t>Kecamatan</w:t>
            </w:r>
          </w:p>
        </w:tc>
        <w:tc>
          <w:tcPr>
            <w:tcW w:w="1699" w:type="dxa"/>
            <w:vMerge w:val="restart"/>
            <w:tcBorders>
              <w:left w:val="single" w:sz="4" w:space="0" w:color="000000"/>
              <w:right w:val="single" w:sz="4" w:space="0" w:color="000000"/>
            </w:tcBorders>
            <w:shd w:val="clear" w:color="auto" w:fill="00AEEE"/>
          </w:tcPr>
          <w:p>
            <w:pPr>
              <w:pStyle w:val="TableParagraph"/>
              <w:spacing w:before="175"/>
              <w:ind w:left="658" w:right="142" w:hanging="471"/>
              <w:rPr>
                <w:b/>
                <w:sz w:val="22"/>
              </w:rPr>
            </w:pPr>
            <w:r>
              <w:rPr>
                <w:b/>
                <w:color w:val="0D0D0D"/>
                <w:sz w:val="22"/>
              </w:rPr>
              <w:t>Luas</w:t>
            </w:r>
            <w:r>
              <w:rPr>
                <w:b/>
                <w:color w:val="0D0D0D"/>
                <w:spacing w:val="-16"/>
                <w:sz w:val="22"/>
              </w:rPr>
              <w:t> </w:t>
            </w:r>
            <w:r>
              <w:rPr>
                <w:b/>
                <w:color w:val="0D0D0D"/>
                <w:sz w:val="22"/>
              </w:rPr>
              <w:t>Wilayah </w:t>
            </w:r>
            <w:r>
              <w:rPr>
                <w:b/>
                <w:color w:val="0D0D0D"/>
                <w:spacing w:val="-4"/>
                <w:sz w:val="22"/>
              </w:rPr>
              <w:t>(ha)</w:t>
            </w:r>
          </w:p>
        </w:tc>
        <w:tc>
          <w:tcPr>
            <w:tcW w:w="2975" w:type="dxa"/>
            <w:gridSpan w:val="2"/>
            <w:tcBorders>
              <w:left w:val="single" w:sz="4" w:space="0" w:color="000000"/>
            </w:tcBorders>
            <w:shd w:val="clear" w:color="auto" w:fill="00AEEE"/>
          </w:tcPr>
          <w:p>
            <w:pPr>
              <w:pStyle w:val="TableParagraph"/>
              <w:spacing w:before="131"/>
              <w:ind w:left="256"/>
              <w:rPr>
                <w:b/>
                <w:sz w:val="22"/>
              </w:rPr>
            </w:pPr>
            <w:r>
              <w:rPr>
                <w:b/>
                <w:color w:val="0D0D0D"/>
                <w:sz w:val="22"/>
              </w:rPr>
              <w:t>Luas</w:t>
            </w:r>
            <w:r>
              <w:rPr>
                <w:b/>
                <w:color w:val="0D0D0D"/>
                <w:spacing w:val="-7"/>
                <w:sz w:val="22"/>
              </w:rPr>
              <w:t> </w:t>
            </w:r>
            <w:r>
              <w:rPr>
                <w:b/>
                <w:color w:val="0D0D0D"/>
                <w:sz w:val="22"/>
              </w:rPr>
              <w:t>Area</w:t>
            </w:r>
            <w:r>
              <w:rPr>
                <w:b/>
                <w:color w:val="0D0D0D"/>
                <w:spacing w:val="-3"/>
                <w:sz w:val="22"/>
              </w:rPr>
              <w:t> </w:t>
            </w:r>
            <w:r>
              <w:rPr>
                <w:b/>
                <w:color w:val="0D0D0D"/>
                <w:sz w:val="22"/>
              </w:rPr>
              <w:t>Masuk</w:t>
            </w:r>
            <w:r>
              <w:rPr>
                <w:b/>
                <w:color w:val="0D0D0D"/>
                <w:spacing w:val="-4"/>
                <w:sz w:val="22"/>
              </w:rPr>
              <w:t> </w:t>
            </w:r>
            <w:r>
              <w:rPr>
                <w:b/>
                <w:color w:val="0D0D0D"/>
                <w:sz w:val="22"/>
              </w:rPr>
              <w:t>ke</w:t>
            </w:r>
            <w:r>
              <w:rPr>
                <w:b/>
                <w:color w:val="0D0D0D"/>
                <w:spacing w:val="-5"/>
                <w:sz w:val="22"/>
              </w:rPr>
              <w:t> IKN</w:t>
            </w:r>
          </w:p>
        </w:tc>
      </w:tr>
      <w:tr>
        <w:trPr>
          <w:trHeight w:val="373" w:hRule="atLeast"/>
        </w:trPr>
        <w:tc>
          <w:tcPr>
            <w:tcW w:w="566" w:type="dxa"/>
            <w:vMerge/>
            <w:tcBorders>
              <w:top w:val="nil"/>
              <w:right w:val="single" w:sz="4" w:space="0" w:color="000000"/>
            </w:tcBorders>
            <w:shd w:val="clear" w:color="auto" w:fill="00AEEE"/>
          </w:tcPr>
          <w:p>
            <w:pPr>
              <w:rPr>
                <w:sz w:val="2"/>
                <w:szCs w:val="2"/>
              </w:rPr>
            </w:pPr>
          </w:p>
        </w:tc>
        <w:tc>
          <w:tcPr>
            <w:tcW w:w="1704" w:type="dxa"/>
            <w:vMerge/>
            <w:tcBorders>
              <w:top w:val="nil"/>
              <w:left w:val="single" w:sz="4" w:space="0" w:color="000000"/>
              <w:right w:val="single" w:sz="4" w:space="0" w:color="000000"/>
            </w:tcBorders>
            <w:shd w:val="clear" w:color="auto" w:fill="00AEEE"/>
          </w:tcPr>
          <w:p>
            <w:pPr>
              <w:rPr>
                <w:sz w:val="2"/>
                <w:szCs w:val="2"/>
              </w:rPr>
            </w:pPr>
          </w:p>
        </w:tc>
        <w:tc>
          <w:tcPr>
            <w:tcW w:w="1699" w:type="dxa"/>
            <w:vMerge/>
            <w:tcBorders>
              <w:top w:val="nil"/>
              <w:left w:val="single" w:sz="4" w:space="0" w:color="000000"/>
              <w:right w:val="single" w:sz="4" w:space="0" w:color="000000"/>
            </w:tcBorders>
            <w:shd w:val="clear" w:color="auto" w:fill="00AEEE"/>
          </w:tcPr>
          <w:p>
            <w:pPr>
              <w:rPr>
                <w:sz w:val="2"/>
                <w:szCs w:val="2"/>
              </w:rPr>
            </w:pPr>
          </w:p>
        </w:tc>
        <w:tc>
          <w:tcPr>
            <w:tcW w:w="1699" w:type="dxa"/>
            <w:tcBorders>
              <w:left w:val="single" w:sz="4" w:space="0" w:color="000000"/>
            </w:tcBorders>
            <w:shd w:val="clear" w:color="auto" w:fill="00AEEE"/>
          </w:tcPr>
          <w:p>
            <w:pPr>
              <w:pStyle w:val="TableParagraph"/>
              <w:spacing w:before="35"/>
              <w:ind w:left="51"/>
              <w:jc w:val="center"/>
              <w:rPr>
                <w:b/>
                <w:sz w:val="22"/>
              </w:rPr>
            </w:pPr>
            <w:r>
              <w:rPr>
                <w:b/>
                <w:color w:val="0D0D0D"/>
                <w:spacing w:val="-4"/>
                <w:sz w:val="22"/>
              </w:rPr>
              <w:t>(ha)</w:t>
            </w:r>
          </w:p>
        </w:tc>
        <w:tc>
          <w:tcPr>
            <w:tcW w:w="1276" w:type="dxa"/>
            <w:shd w:val="clear" w:color="auto" w:fill="00AEEE"/>
          </w:tcPr>
          <w:p>
            <w:pPr>
              <w:pStyle w:val="TableParagraph"/>
              <w:spacing w:before="35"/>
              <w:ind w:left="37"/>
              <w:jc w:val="center"/>
              <w:rPr>
                <w:b/>
                <w:sz w:val="22"/>
              </w:rPr>
            </w:pPr>
            <w:r>
              <w:rPr>
                <w:b/>
                <w:color w:val="0D0D0D"/>
                <w:spacing w:val="-10"/>
                <w:sz w:val="22"/>
              </w:rPr>
              <w:t>%</w:t>
            </w:r>
          </w:p>
        </w:tc>
      </w:tr>
      <w:tr>
        <w:trPr>
          <w:trHeight w:val="292" w:hRule="atLeast"/>
        </w:trPr>
        <w:tc>
          <w:tcPr>
            <w:tcW w:w="566" w:type="dxa"/>
            <w:tcBorders>
              <w:bottom w:val="single" w:sz="4" w:space="0" w:color="000000"/>
              <w:right w:val="single" w:sz="4" w:space="0" w:color="000000"/>
            </w:tcBorders>
          </w:tcPr>
          <w:p>
            <w:pPr>
              <w:pStyle w:val="TableParagraph"/>
              <w:spacing w:line="272" w:lineRule="exact"/>
              <w:ind w:left="23"/>
              <w:jc w:val="center"/>
              <w:rPr>
                <w:sz w:val="22"/>
              </w:rPr>
            </w:pPr>
            <w:r>
              <w:rPr>
                <w:color w:val="0D0D0D"/>
                <w:spacing w:val="-10"/>
                <w:sz w:val="22"/>
              </w:rPr>
              <w:t>1</w:t>
            </w:r>
          </w:p>
        </w:tc>
        <w:tc>
          <w:tcPr>
            <w:tcW w:w="1704" w:type="dxa"/>
            <w:tcBorders>
              <w:left w:val="single" w:sz="4" w:space="0" w:color="000000"/>
              <w:bottom w:val="single" w:sz="4" w:space="0" w:color="000000"/>
              <w:right w:val="single" w:sz="4" w:space="0" w:color="000000"/>
            </w:tcBorders>
          </w:tcPr>
          <w:p>
            <w:pPr>
              <w:pStyle w:val="TableParagraph"/>
              <w:spacing w:line="272" w:lineRule="exact"/>
              <w:ind w:left="129"/>
              <w:rPr>
                <w:sz w:val="22"/>
              </w:rPr>
            </w:pPr>
            <w:r>
              <w:rPr>
                <w:color w:val="0D0D0D"/>
                <w:sz w:val="22"/>
              </w:rPr>
              <w:t>Loa</w:t>
            </w:r>
            <w:r>
              <w:rPr>
                <w:color w:val="0D0D0D"/>
                <w:spacing w:val="2"/>
                <w:sz w:val="22"/>
              </w:rPr>
              <w:t> </w:t>
            </w:r>
            <w:r>
              <w:rPr>
                <w:color w:val="0D0D0D"/>
                <w:spacing w:val="-2"/>
                <w:sz w:val="22"/>
              </w:rPr>
              <w:t>Janan</w:t>
            </w:r>
          </w:p>
        </w:tc>
        <w:tc>
          <w:tcPr>
            <w:tcW w:w="1699" w:type="dxa"/>
            <w:tcBorders>
              <w:left w:val="single" w:sz="4" w:space="0" w:color="000000"/>
              <w:bottom w:val="single" w:sz="4" w:space="0" w:color="000000"/>
              <w:right w:val="single" w:sz="4" w:space="0" w:color="000000"/>
            </w:tcBorders>
          </w:tcPr>
          <w:p>
            <w:pPr>
              <w:pStyle w:val="TableParagraph"/>
              <w:spacing w:line="272" w:lineRule="exact"/>
              <w:ind w:right="80"/>
              <w:jc w:val="right"/>
              <w:rPr>
                <w:sz w:val="22"/>
              </w:rPr>
            </w:pPr>
            <w:r>
              <w:rPr>
                <w:color w:val="0D0D0D"/>
                <w:spacing w:val="-2"/>
                <w:sz w:val="22"/>
              </w:rPr>
              <w:t>69955.99</w:t>
            </w:r>
          </w:p>
        </w:tc>
        <w:tc>
          <w:tcPr>
            <w:tcW w:w="1699" w:type="dxa"/>
            <w:tcBorders>
              <w:left w:val="single" w:sz="4" w:space="0" w:color="000000"/>
              <w:bottom w:val="single" w:sz="4" w:space="0" w:color="000000"/>
              <w:right w:val="single" w:sz="4" w:space="0" w:color="000000"/>
            </w:tcBorders>
          </w:tcPr>
          <w:p>
            <w:pPr>
              <w:pStyle w:val="TableParagraph"/>
              <w:spacing w:line="272" w:lineRule="exact"/>
              <w:ind w:right="74"/>
              <w:jc w:val="right"/>
              <w:rPr>
                <w:sz w:val="22"/>
              </w:rPr>
            </w:pPr>
            <w:r>
              <w:rPr>
                <w:color w:val="0D0D0D"/>
                <w:spacing w:val="-2"/>
                <w:sz w:val="22"/>
              </w:rPr>
              <w:t>38064.97</w:t>
            </w:r>
          </w:p>
        </w:tc>
        <w:tc>
          <w:tcPr>
            <w:tcW w:w="1276" w:type="dxa"/>
            <w:tcBorders>
              <w:left w:val="single" w:sz="4" w:space="0" w:color="000000"/>
              <w:bottom w:val="single" w:sz="4" w:space="0" w:color="000000"/>
            </w:tcBorders>
          </w:tcPr>
          <w:p>
            <w:pPr>
              <w:pStyle w:val="TableParagraph"/>
              <w:spacing w:line="272" w:lineRule="exact"/>
              <w:ind w:right="72"/>
              <w:jc w:val="right"/>
              <w:rPr>
                <w:sz w:val="22"/>
              </w:rPr>
            </w:pPr>
            <w:r>
              <w:rPr>
                <w:color w:val="0D0D0D"/>
                <w:spacing w:val="-2"/>
                <w:sz w:val="22"/>
              </w:rPr>
              <w:t>54.41</w:t>
            </w:r>
          </w:p>
        </w:tc>
      </w:tr>
      <w:tr>
        <w:trPr>
          <w:trHeight w:val="292" w:hRule="atLeast"/>
        </w:trPr>
        <w:tc>
          <w:tcPr>
            <w:tcW w:w="566" w:type="dxa"/>
            <w:tcBorders>
              <w:top w:val="single" w:sz="4" w:space="0" w:color="000000"/>
              <w:bottom w:val="single" w:sz="4" w:space="0" w:color="000000"/>
              <w:right w:val="single" w:sz="4" w:space="0" w:color="000000"/>
            </w:tcBorders>
          </w:tcPr>
          <w:p>
            <w:pPr>
              <w:pStyle w:val="TableParagraph"/>
              <w:spacing w:line="272" w:lineRule="exact"/>
              <w:ind w:left="23"/>
              <w:jc w:val="center"/>
              <w:rPr>
                <w:sz w:val="22"/>
              </w:rPr>
            </w:pPr>
            <w:r>
              <w:rPr>
                <w:color w:val="0D0D0D"/>
                <w:spacing w:val="-10"/>
                <w:sz w:val="22"/>
              </w:rPr>
              <w:t>2</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29"/>
              <w:rPr>
                <w:sz w:val="22"/>
              </w:rPr>
            </w:pPr>
            <w:r>
              <w:rPr>
                <w:color w:val="0D0D0D"/>
                <w:sz w:val="22"/>
              </w:rPr>
              <w:t>Loa</w:t>
            </w:r>
            <w:r>
              <w:rPr>
                <w:color w:val="0D0D0D"/>
                <w:spacing w:val="-4"/>
                <w:sz w:val="22"/>
              </w:rPr>
              <w:t> Kulu</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80"/>
              <w:jc w:val="right"/>
              <w:rPr>
                <w:sz w:val="22"/>
              </w:rPr>
            </w:pPr>
            <w:r>
              <w:rPr>
                <w:color w:val="0D0D0D"/>
                <w:spacing w:val="-2"/>
                <w:sz w:val="22"/>
              </w:rPr>
              <w:t>161497.39</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74"/>
              <w:jc w:val="right"/>
              <w:rPr>
                <w:sz w:val="22"/>
              </w:rPr>
            </w:pPr>
            <w:r>
              <w:rPr>
                <w:color w:val="0D0D0D"/>
                <w:spacing w:val="-2"/>
                <w:sz w:val="22"/>
              </w:rPr>
              <w:t>25138.87</w:t>
            </w:r>
          </w:p>
        </w:tc>
        <w:tc>
          <w:tcPr>
            <w:tcW w:w="1276" w:type="dxa"/>
            <w:tcBorders>
              <w:top w:val="single" w:sz="4" w:space="0" w:color="000000"/>
              <w:left w:val="single" w:sz="4" w:space="0" w:color="000000"/>
              <w:bottom w:val="single" w:sz="4" w:space="0" w:color="000000"/>
            </w:tcBorders>
          </w:tcPr>
          <w:p>
            <w:pPr>
              <w:pStyle w:val="TableParagraph"/>
              <w:spacing w:line="272" w:lineRule="exact"/>
              <w:ind w:right="72"/>
              <w:jc w:val="right"/>
              <w:rPr>
                <w:sz w:val="22"/>
              </w:rPr>
            </w:pPr>
            <w:r>
              <w:rPr>
                <w:color w:val="0D0D0D"/>
                <w:spacing w:val="-2"/>
                <w:sz w:val="22"/>
              </w:rPr>
              <w:t>15.57</w:t>
            </w:r>
          </w:p>
        </w:tc>
      </w:tr>
      <w:tr>
        <w:trPr>
          <w:trHeight w:val="292" w:hRule="atLeast"/>
        </w:trPr>
        <w:tc>
          <w:tcPr>
            <w:tcW w:w="566" w:type="dxa"/>
            <w:tcBorders>
              <w:top w:val="single" w:sz="4" w:space="0" w:color="000000"/>
              <w:bottom w:val="single" w:sz="4" w:space="0" w:color="000000"/>
              <w:right w:val="single" w:sz="4" w:space="0" w:color="000000"/>
            </w:tcBorders>
          </w:tcPr>
          <w:p>
            <w:pPr>
              <w:pStyle w:val="TableParagraph"/>
              <w:spacing w:line="273" w:lineRule="exact"/>
              <w:ind w:left="23"/>
              <w:jc w:val="center"/>
              <w:rPr>
                <w:sz w:val="22"/>
              </w:rPr>
            </w:pPr>
            <w:r>
              <w:rPr>
                <w:color w:val="0D0D0D"/>
                <w:spacing w:val="-10"/>
                <w:sz w:val="22"/>
              </w:rPr>
              <w:t>3</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29"/>
              <w:rPr>
                <w:sz w:val="22"/>
              </w:rPr>
            </w:pPr>
            <w:r>
              <w:rPr>
                <w:color w:val="0D0D0D"/>
                <w:sz w:val="22"/>
              </w:rPr>
              <w:t>Muara</w:t>
            </w:r>
            <w:r>
              <w:rPr>
                <w:color w:val="0D0D0D"/>
                <w:spacing w:val="-7"/>
                <w:sz w:val="22"/>
              </w:rPr>
              <w:t> </w:t>
            </w:r>
            <w:r>
              <w:rPr>
                <w:color w:val="0D0D0D"/>
                <w:spacing w:val="-4"/>
                <w:sz w:val="22"/>
              </w:rPr>
              <w:t>Jawa</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80"/>
              <w:jc w:val="right"/>
              <w:rPr>
                <w:sz w:val="22"/>
              </w:rPr>
            </w:pPr>
            <w:r>
              <w:rPr>
                <w:color w:val="0D0D0D"/>
                <w:spacing w:val="-2"/>
                <w:sz w:val="22"/>
              </w:rPr>
              <w:t>51786.93</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4"/>
              <w:jc w:val="right"/>
              <w:rPr>
                <w:sz w:val="22"/>
              </w:rPr>
            </w:pPr>
            <w:r>
              <w:rPr>
                <w:color w:val="0D0D0D"/>
                <w:spacing w:val="-2"/>
                <w:sz w:val="22"/>
              </w:rPr>
              <w:t>29893.65</w:t>
            </w:r>
          </w:p>
        </w:tc>
        <w:tc>
          <w:tcPr>
            <w:tcW w:w="1276" w:type="dxa"/>
            <w:tcBorders>
              <w:top w:val="single" w:sz="4" w:space="0" w:color="000000"/>
              <w:left w:val="single" w:sz="4" w:space="0" w:color="000000"/>
              <w:bottom w:val="single" w:sz="4" w:space="0" w:color="000000"/>
            </w:tcBorders>
          </w:tcPr>
          <w:p>
            <w:pPr>
              <w:pStyle w:val="TableParagraph"/>
              <w:spacing w:line="273" w:lineRule="exact"/>
              <w:ind w:right="72"/>
              <w:jc w:val="right"/>
              <w:rPr>
                <w:sz w:val="22"/>
              </w:rPr>
            </w:pPr>
            <w:r>
              <w:rPr>
                <w:color w:val="0D0D0D"/>
                <w:spacing w:val="-2"/>
                <w:sz w:val="22"/>
              </w:rPr>
              <w:t>57.72</w:t>
            </w:r>
          </w:p>
        </w:tc>
      </w:tr>
      <w:tr>
        <w:trPr>
          <w:trHeight w:val="292" w:hRule="atLeast"/>
        </w:trPr>
        <w:tc>
          <w:tcPr>
            <w:tcW w:w="566" w:type="dxa"/>
            <w:tcBorders>
              <w:top w:val="single" w:sz="4" w:space="0" w:color="000000"/>
              <w:bottom w:val="single" w:sz="4" w:space="0" w:color="000000"/>
              <w:right w:val="single" w:sz="4" w:space="0" w:color="000000"/>
            </w:tcBorders>
          </w:tcPr>
          <w:p>
            <w:pPr>
              <w:pStyle w:val="TableParagraph"/>
              <w:spacing w:line="272" w:lineRule="exact"/>
              <w:ind w:left="23"/>
              <w:jc w:val="center"/>
              <w:rPr>
                <w:sz w:val="22"/>
              </w:rPr>
            </w:pPr>
            <w:r>
              <w:rPr>
                <w:color w:val="0D0D0D"/>
                <w:spacing w:val="-10"/>
                <w:sz w:val="22"/>
              </w:rPr>
              <w:t>4</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29"/>
              <w:rPr>
                <w:sz w:val="22"/>
              </w:rPr>
            </w:pPr>
            <w:r>
              <w:rPr>
                <w:color w:val="0D0D0D"/>
                <w:spacing w:val="-2"/>
                <w:sz w:val="22"/>
              </w:rPr>
              <w:t>Samboja</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80"/>
              <w:jc w:val="right"/>
              <w:rPr>
                <w:sz w:val="22"/>
              </w:rPr>
            </w:pPr>
            <w:r>
              <w:rPr>
                <w:color w:val="0D0D0D"/>
                <w:spacing w:val="-2"/>
                <w:sz w:val="22"/>
              </w:rPr>
              <w:t>28186.90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74"/>
              <w:jc w:val="right"/>
              <w:rPr>
                <w:sz w:val="22"/>
              </w:rPr>
            </w:pPr>
            <w:r>
              <w:rPr>
                <w:color w:val="0D0D0D"/>
                <w:spacing w:val="-2"/>
                <w:sz w:val="22"/>
              </w:rPr>
              <w:t>28186.90</w:t>
            </w:r>
          </w:p>
        </w:tc>
        <w:tc>
          <w:tcPr>
            <w:tcW w:w="1276" w:type="dxa"/>
            <w:tcBorders>
              <w:top w:val="single" w:sz="4" w:space="0" w:color="000000"/>
              <w:left w:val="single" w:sz="4" w:space="0" w:color="000000"/>
              <w:bottom w:val="single" w:sz="4" w:space="0" w:color="000000"/>
            </w:tcBorders>
          </w:tcPr>
          <w:p>
            <w:pPr>
              <w:pStyle w:val="TableParagraph"/>
              <w:spacing w:line="272" w:lineRule="exact"/>
              <w:ind w:right="72"/>
              <w:jc w:val="right"/>
              <w:rPr>
                <w:sz w:val="22"/>
              </w:rPr>
            </w:pPr>
            <w:r>
              <w:rPr>
                <w:color w:val="0D0D0D"/>
                <w:spacing w:val="-2"/>
                <w:sz w:val="22"/>
              </w:rPr>
              <w:t>100.00</w:t>
            </w:r>
          </w:p>
        </w:tc>
      </w:tr>
      <w:tr>
        <w:trPr>
          <w:trHeight w:val="292" w:hRule="atLeast"/>
        </w:trPr>
        <w:tc>
          <w:tcPr>
            <w:tcW w:w="566" w:type="dxa"/>
            <w:tcBorders>
              <w:top w:val="single" w:sz="4" w:space="0" w:color="000000"/>
              <w:bottom w:val="single" w:sz="4" w:space="0" w:color="000000"/>
              <w:right w:val="single" w:sz="4" w:space="0" w:color="000000"/>
            </w:tcBorders>
          </w:tcPr>
          <w:p>
            <w:pPr>
              <w:pStyle w:val="TableParagraph"/>
              <w:spacing w:line="272" w:lineRule="exact"/>
              <w:ind w:left="23"/>
              <w:jc w:val="center"/>
              <w:rPr>
                <w:sz w:val="22"/>
              </w:rPr>
            </w:pPr>
            <w:r>
              <w:rPr>
                <w:color w:val="0D0D0D"/>
                <w:spacing w:val="-10"/>
                <w:sz w:val="22"/>
              </w:rPr>
              <w:t>5</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29"/>
              <w:rPr>
                <w:sz w:val="22"/>
              </w:rPr>
            </w:pPr>
            <w:r>
              <w:rPr>
                <w:color w:val="0D0D0D"/>
                <w:sz w:val="22"/>
              </w:rPr>
              <w:t>Samboja</w:t>
            </w:r>
            <w:r>
              <w:rPr>
                <w:color w:val="0D0D0D"/>
                <w:spacing w:val="-9"/>
                <w:sz w:val="22"/>
              </w:rPr>
              <w:t> </w:t>
            </w:r>
            <w:r>
              <w:rPr>
                <w:color w:val="0D0D0D"/>
                <w:spacing w:val="-2"/>
                <w:sz w:val="22"/>
              </w:rPr>
              <w:t>Barat</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80"/>
              <w:jc w:val="right"/>
              <w:rPr>
                <w:sz w:val="22"/>
              </w:rPr>
            </w:pPr>
            <w:r>
              <w:rPr>
                <w:color w:val="0D0D0D"/>
                <w:spacing w:val="-2"/>
                <w:sz w:val="22"/>
              </w:rPr>
              <w:t>41690.51</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74"/>
              <w:jc w:val="right"/>
              <w:rPr>
                <w:sz w:val="22"/>
              </w:rPr>
            </w:pPr>
            <w:r>
              <w:rPr>
                <w:color w:val="0D0D0D"/>
                <w:spacing w:val="-2"/>
                <w:sz w:val="22"/>
              </w:rPr>
              <w:t>41690.51</w:t>
            </w:r>
          </w:p>
        </w:tc>
        <w:tc>
          <w:tcPr>
            <w:tcW w:w="1276" w:type="dxa"/>
            <w:tcBorders>
              <w:top w:val="single" w:sz="4" w:space="0" w:color="000000"/>
              <w:left w:val="single" w:sz="4" w:space="0" w:color="000000"/>
              <w:bottom w:val="single" w:sz="4" w:space="0" w:color="000000"/>
            </w:tcBorders>
          </w:tcPr>
          <w:p>
            <w:pPr>
              <w:pStyle w:val="TableParagraph"/>
              <w:spacing w:line="272" w:lineRule="exact"/>
              <w:ind w:right="72"/>
              <w:jc w:val="right"/>
              <w:rPr>
                <w:sz w:val="22"/>
              </w:rPr>
            </w:pPr>
            <w:r>
              <w:rPr>
                <w:color w:val="0D0D0D"/>
                <w:spacing w:val="-2"/>
                <w:sz w:val="22"/>
              </w:rPr>
              <w:t>100.00</w:t>
            </w:r>
          </w:p>
        </w:tc>
      </w:tr>
      <w:tr>
        <w:trPr>
          <w:trHeight w:val="301" w:hRule="atLeast"/>
        </w:trPr>
        <w:tc>
          <w:tcPr>
            <w:tcW w:w="566" w:type="dxa"/>
            <w:tcBorders>
              <w:top w:val="single" w:sz="4" w:space="0" w:color="000000"/>
              <w:right w:val="single" w:sz="4" w:space="0" w:color="000000"/>
            </w:tcBorders>
          </w:tcPr>
          <w:p>
            <w:pPr>
              <w:pStyle w:val="TableParagraph"/>
              <w:spacing w:line="281" w:lineRule="exact"/>
              <w:ind w:left="23"/>
              <w:jc w:val="center"/>
              <w:rPr>
                <w:sz w:val="22"/>
              </w:rPr>
            </w:pPr>
            <w:r>
              <w:rPr>
                <w:color w:val="0D0D0D"/>
                <w:spacing w:val="-10"/>
                <w:sz w:val="22"/>
              </w:rPr>
              <w:t>6</w:t>
            </w:r>
          </w:p>
        </w:tc>
        <w:tc>
          <w:tcPr>
            <w:tcW w:w="1704" w:type="dxa"/>
            <w:tcBorders>
              <w:top w:val="single" w:sz="4" w:space="0" w:color="000000"/>
              <w:left w:val="single" w:sz="4" w:space="0" w:color="000000"/>
              <w:right w:val="single" w:sz="4" w:space="0" w:color="000000"/>
            </w:tcBorders>
          </w:tcPr>
          <w:p>
            <w:pPr>
              <w:pStyle w:val="TableParagraph"/>
              <w:spacing w:line="281" w:lineRule="exact"/>
              <w:ind w:left="129"/>
              <w:rPr>
                <w:sz w:val="22"/>
              </w:rPr>
            </w:pPr>
            <w:r>
              <w:rPr>
                <w:color w:val="0D0D0D"/>
                <w:sz w:val="22"/>
              </w:rPr>
              <w:t>Sanga</w:t>
            </w:r>
            <w:r>
              <w:rPr>
                <w:color w:val="0D0D0D"/>
                <w:spacing w:val="-12"/>
                <w:sz w:val="22"/>
              </w:rPr>
              <w:t> </w:t>
            </w:r>
            <w:r>
              <w:rPr>
                <w:color w:val="0D0D0D"/>
                <w:spacing w:val="-2"/>
                <w:sz w:val="22"/>
              </w:rPr>
              <w:t>Sanga</w:t>
            </w:r>
          </w:p>
        </w:tc>
        <w:tc>
          <w:tcPr>
            <w:tcW w:w="1699" w:type="dxa"/>
            <w:tcBorders>
              <w:top w:val="single" w:sz="4" w:space="0" w:color="000000"/>
              <w:left w:val="single" w:sz="4" w:space="0" w:color="000000"/>
              <w:right w:val="single" w:sz="4" w:space="0" w:color="000000"/>
            </w:tcBorders>
          </w:tcPr>
          <w:p>
            <w:pPr>
              <w:pStyle w:val="TableParagraph"/>
              <w:spacing w:line="281" w:lineRule="exact"/>
              <w:ind w:right="80"/>
              <w:jc w:val="right"/>
              <w:rPr>
                <w:sz w:val="22"/>
              </w:rPr>
            </w:pPr>
            <w:r>
              <w:rPr>
                <w:color w:val="0D0D0D"/>
                <w:spacing w:val="-2"/>
                <w:sz w:val="22"/>
              </w:rPr>
              <w:t>10178.61</w:t>
            </w:r>
          </w:p>
        </w:tc>
        <w:tc>
          <w:tcPr>
            <w:tcW w:w="1699" w:type="dxa"/>
            <w:tcBorders>
              <w:top w:val="single" w:sz="4" w:space="0" w:color="000000"/>
              <w:left w:val="single" w:sz="4" w:space="0" w:color="000000"/>
              <w:right w:val="single" w:sz="4" w:space="0" w:color="000000"/>
            </w:tcBorders>
          </w:tcPr>
          <w:p>
            <w:pPr>
              <w:pStyle w:val="TableParagraph"/>
              <w:spacing w:line="281" w:lineRule="exact"/>
              <w:ind w:right="73"/>
              <w:jc w:val="right"/>
              <w:rPr>
                <w:sz w:val="22"/>
              </w:rPr>
            </w:pPr>
            <w:r>
              <w:rPr>
                <w:color w:val="0D0D0D"/>
                <w:spacing w:val="-2"/>
                <w:sz w:val="22"/>
              </w:rPr>
              <w:t>139.21</w:t>
            </w:r>
          </w:p>
        </w:tc>
        <w:tc>
          <w:tcPr>
            <w:tcW w:w="1276" w:type="dxa"/>
            <w:tcBorders>
              <w:top w:val="single" w:sz="4" w:space="0" w:color="000000"/>
              <w:left w:val="single" w:sz="4" w:space="0" w:color="000000"/>
            </w:tcBorders>
          </w:tcPr>
          <w:p>
            <w:pPr>
              <w:pStyle w:val="TableParagraph"/>
              <w:spacing w:line="281" w:lineRule="exact"/>
              <w:ind w:right="71"/>
              <w:jc w:val="right"/>
              <w:rPr>
                <w:sz w:val="22"/>
              </w:rPr>
            </w:pPr>
            <w:r>
              <w:rPr>
                <w:color w:val="0D0D0D"/>
                <w:spacing w:val="-4"/>
                <w:sz w:val="22"/>
              </w:rPr>
              <w:t>1.37</w:t>
            </w:r>
          </w:p>
        </w:tc>
      </w:tr>
    </w:tbl>
    <w:p>
      <w:pPr>
        <w:pStyle w:val="BodyText"/>
        <w:spacing w:before="299"/>
        <w:jc w:val="left"/>
        <w:rPr>
          <w:rFonts w:ascii="Lucida Sans Unicode"/>
          <w:sz w:val="22"/>
        </w:rPr>
      </w:pPr>
    </w:p>
    <w:p>
      <w:pPr>
        <w:pStyle w:val="ListParagraph"/>
        <w:numPr>
          <w:ilvl w:val="0"/>
          <w:numId w:val="34"/>
        </w:numPr>
        <w:tabs>
          <w:tab w:pos="1842" w:val="left" w:leader="none"/>
        </w:tabs>
        <w:spacing w:line="240" w:lineRule="auto" w:before="1" w:after="0"/>
        <w:ind w:left="1842" w:right="0" w:hanging="566"/>
        <w:jc w:val="both"/>
        <w:rPr>
          <w:b/>
          <w:sz w:val="24"/>
        </w:rPr>
      </w:pPr>
      <w:r>
        <w:rPr>
          <w:b/>
          <w:color w:val="0D0D0D"/>
          <w:sz w:val="24"/>
        </w:rPr>
        <w:t>Fasilitas</w:t>
      </w:r>
      <w:r>
        <w:rPr>
          <w:b/>
          <w:color w:val="0D0D0D"/>
          <w:spacing w:val="-10"/>
          <w:sz w:val="24"/>
        </w:rPr>
        <w:t> </w:t>
      </w:r>
      <w:r>
        <w:rPr>
          <w:b/>
          <w:color w:val="0D0D0D"/>
          <w:sz w:val="24"/>
        </w:rPr>
        <w:t>Pelayanan</w:t>
      </w:r>
      <w:r>
        <w:rPr>
          <w:b/>
          <w:color w:val="0D0D0D"/>
          <w:spacing w:val="-11"/>
          <w:sz w:val="24"/>
        </w:rPr>
        <w:t> </w:t>
      </w:r>
      <w:r>
        <w:rPr>
          <w:b/>
          <w:color w:val="0D0D0D"/>
          <w:spacing w:val="-2"/>
          <w:sz w:val="24"/>
        </w:rPr>
        <w:t>Kesehatan</w:t>
      </w:r>
    </w:p>
    <w:p>
      <w:pPr>
        <w:pStyle w:val="BodyText"/>
        <w:spacing w:line="360" w:lineRule="auto" w:before="160"/>
        <w:ind w:left="1843" w:right="699"/>
      </w:pPr>
      <w:r>
        <w:rPr>
          <w:color w:val="0D0D0D"/>
        </w:rPr>
        <w:t>Potensi</w:t>
      </w:r>
      <w:r>
        <w:rPr>
          <w:color w:val="0D0D0D"/>
          <w:spacing w:val="-17"/>
        </w:rPr>
        <w:t> </w:t>
      </w:r>
      <w:r>
        <w:rPr>
          <w:color w:val="0D0D0D"/>
        </w:rPr>
        <w:t>layanan</w:t>
      </w:r>
      <w:r>
        <w:rPr>
          <w:color w:val="0D0D0D"/>
          <w:spacing w:val="-16"/>
        </w:rPr>
        <w:t> </w:t>
      </w:r>
      <w:r>
        <w:rPr>
          <w:color w:val="0D0D0D"/>
        </w:rPr>
        <w:t>bidang</w:t>
      </w:r>
      <w:r>
        <w:rPr>
          <w:color w:val="0D0D0D"/>
          <w:spacing w:val="-17"/>
        </w:rPr>
        <w:t> </w:t>
      </w:r>
      <w:r>
        <w:rPr>
          <w:color w:val="0D0D0D"/>
        </w:rPr>
        <w:t>kesehatan</w:t>
      </w:r>
      <w:r>
        <w:rPr>
          <w:color w:val="0D0D0D"/>
          <w:spacing w:val="-16"/>
        </w:rPr>
        <w:t> </w:t>
      </w:r>
      <w:r>
        <w:rPr>
          <w:color w:val="0D0D0D"/>
        </w:rPr>
        <w:t>yang</w:t>
      </w:r>
      <w:r>
        <w:rPr>
          <w:color w:val="0D0D0D"/>
          <w:spacing w:val="-17"/>
        </w:rPr>
        <w:t> </w:t>
      </w:r>
      <w:r>
        <w:rPr>
          <w:color w:val="0D0D0D"/>
        </w:rPr>
        <w:t>dimiliki</w:t>
      </w:r>
      <w:r>
        <w:rPr>
          <w:color w:val="0D0D0D"/>
          <w:spacing w:val="-16"/>
        </w:rPr>
        <w:t> </w:t>
      </w:r>
      <w:r>
        <w:rPr>
          <w:color w:val="0D0D0D"/>
        </w:rPr>
        <w:t>KabupatenKutai Kartanegara</w:t>
      </w:r>
      <w:r>
        <w:rPr>
          <w:color w:val="0D0D0D"/>
          <w:spacing w:val="-8"/>
        </w:rPr>
        <w:t> </w:t>
      </w:r>
      <w:r>
        <w:rPr>
          <w:color w:val="0D0D0D"/>
        </w:rPr>
        <w:t>meliputi</w:t>
      </w:r>
      <w:r>
        <w:rPr>
          <w:color w:val="0D0D0D"/>
          <w:spacing w:val="-7"/>
        </w:rPr>
        <w:t> </w:t>
      </w:r>
      <w:r>
        <w:rPr>
          <w:color w:val="0D0D0D"/>
        </w:rPr>
        <w:t>penyediaan</w:t>
      </w:r>
      <w:r>
        <w:rPr>
          <w:color w:val="0D0D0D"/>
          <w:spacing w:val="-8"/>
        </w:rPr>
        <w:t> </w:t>
      </w:r>
      <w:r>
        <w:rPr>
          <w:color w:val="0D0D0D"/>
        </w:rPr>
        <w:t>Fasilitas</w:t>
      </w:r>
      <w:r>
        <w:rPr>
          <w:color w:val="0D0D0D"/>
          <w:spacing w:val="-8"/>
        </w:rPr>
        <w:t> </w:t>
      </w:r>
      <w:r>
        <w:rPr>
          <w:color w:val="0D0D0D"/>
        </w:rPr>
        <w:t>Pelayanan</w:t>
      </w:r>
      <w:r>
        <w:rPr>
          <w:color w:val="0D0D0D"/>
          <w:spacing w:val="-12"/>
        </w:rPr>
        <w:t> </w:t>
      </w:r>
      <w:r>
        <w:rPr>
          <w:color w:val="0D0D0D"/>
        </w:rPr>
        <w:t>Kesehatan (faskes) sesuai dengan definisi pada Pasal 4 dalam Peraturan Pemerintah Republik Indonesia Nomor 47 Tahun2016 tentang Fasilitas Pelayanan Kesehatan, yakni meliputi Rumah Sakit Umum Daerah, Puskesmas, Posyandu, Klinik, Klinik</w:t>
      </w:r>
      <w:r>
        <w:rPr>
          <w:color w:val="0D0D0D"/>
          <w:spacing w:val="-2"/>
        </w:rPr>
        <w:t> </w:t>
      </w:r>
      <w:r>
        <w:rPr>
          <w:color w:val="0D0D0D"/>
        </w:rPr>
        <w:t>Bersalin, Praktek Bidan, dan Apotek. Sebanyak 49 lokasi faskes</w:t>
      </w:r>
      <w:r>
        <w:rPr>
          <w:color w:val="0D0D0D"/>
          <w:spacing w:val="-17"/>
        </w:rPr>
        <w:t> </w:t>
      </w:r>
      <w:r>
        <w:rPr>
          <w:color w:val="0D0D0D"/>
        </w:rPr>
        <w:t>di 39 desa/kelurahan pada 6 kecamatan yang masuk dalam wilayah pengembangan IKN dapat terpetakan (Gambar 11).Salah satu faskes</w:t>
      </w:r>
      <w:r>
        <w:rPr>
          <w:color w:val="0D0D0D"/>
          <w:spacing w:val="-17"/>
        </w:rPr>
        <w:t> </w:t>
      </w:r>
      <w:r>
        <w:rPr>
          <w:color w:val="0D0D0D"/>
        </w:rPr>
        <w:t>yang</w:t>
      </w:r>
      <w:r>
        <w:rPr>
          <w:color w:val="0D0D0D"/>
          <w:spacing w:val="-16"/>
        </w:rPr>
        <w:t> </w:t>
      </w:r>
      <w:r>
        <w:rPr>
          <w:color w:val="0D0D0D"/>
        </w:rPr>
        <w:t>menjadi</w:t>
      </w:r>
      <w:r>
        <w:rPr>
          <w:color w:val="0D0D0D"/>
          <w:spacing w:val="-17"/>
        </w:rPr>
        <w:t> </w:t>
      </w:r>
      <w:r>
        <w:rPr>
          <w:color w:val="0D0D0D"/>
        </w:rPr>
        <w:t>rujukan</w:t>
      </w:r>
      <w:r>
        <w:rPr>
          <w:color w:val="0D0D0D"/>
          <w:spacing w:val="-16"/>
        </w:rPr>
        <w:t> </w:t>
      </w:r>
      <w:r>
        <w:rPr>
          <w:color w:val="0D0D0D"/>
        </w:rPr>
        <w:t>di</w:t>
      </w:r>
      <w:r>
        <w:rPr>
          <w:color w:val="0D0D0D"/>
          <w:spacing w:val="-17"/>
        </w:rPr>
        <w:t> </w:t>
      </w:r>
      <w:r>
        <w:rPr>
          <w:color w:val="0D0D0D"/>
        </w:rPr>
        <w:t>tingkat</w:t>
      </w:r>
      <w:r>
        <w:rPr>
          <w:color w:val="0D0D0D"/>
          <w:spacing w:val="-16"/>
        </w:rPr>
        <w:t> </w:t>
      </w:r>
      <w:r>
        <w:rPr>
          <w:color w:val="0D0D0D"/>
        </w:rPr>
        <w:t>kabupaten</w:t>
      </w:r>
      <w:r>
        <w:rPr>
          <w:color w:val="0D0D0D"/>
          <w:spacing w:val="-15"/>
        </w:rPr>
        <w:t> </w:t>
      </w:r>
      <w:r>
        <w:rPr>
          <w:color w:val="0D0D0D"/>
        </w:rPr>
        <w:t>dan</w:t>
      </w:r>
      <w:r>
        <w:rPr>
          <w:color w:val="0D0D0D"/>
          <w:spacing w:val="-17"/>
        </w:rPr>
        <w:t> </w:t>
      </w:r>
      <w:r>
        <w:rPr>
          <w:color w:val="0D0D0D"/>
        </w:rPr>
        <w:t>terhitung masuk ke wilayah IKN adalah RS Umum Daerah Aji Batara Agung Dewa Sakti/ RSUD ABADI (Gambar 12) di Kabupaten Kamboja, yangmerupakan rumah sakit TIPE C dan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00"/>
        <w:jc w:val="left"/>
      </w:pPr>
      <w:r>
        <w:rPr/>
        <w:drawing>
          <wp:anchor distT="0" distB="0" distL="0" distR="0" allowOverlap="1" layoutInCell="1" locked="0" behindDoc="1" simplePos="0" relativeHeight="487592448">
            <wp:simplePos x="0" y="0"/>
            <wp:positionH relativeFrom="page">
              <wp:posOffset>1905000</wp:posOffset>
            </wp:positionH>
            <wp:positionV relativeFrom="paragraph">
              <wp:posOffset>694436</wp:posOffset>
            </wp:positionV>
            <wp:extent cx="4996412" cy="348615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8" cstate="print"/>
                    <a:stretch>
                      <a:fillRect/>
                    </a:stretch>
                  </pic:blipFill>
                  <pic:spPr>
                    <a:xfrm>
                      <a:off x="0" y="0"/>
                      <a:ext cx="4996412" cy="3486150"/>
                    </a:xfrm>
                    <a:prstGeom prst="rect">
                      <a:avLst/>
                    </a:prstGeom>
                  </pic:spPr>
                </pic:pic>
              </a:graphicData>
            </a:graphic>
          </wp:anchor>
        </w:drawing>
      </w:r>
      <w:r>
        <w:rPr>
          <w:color w:val="0D0D0D"/>
        </w:rPr>
        <w:t>RS</w:t>
      </w:r>
      <w:r>
        <w:rPr>
          <w:color w:val="0D0D0D"/>
          <w:spacing w:val="40"/>
        </w:rPr>
        <w:t> </w:t>
      </w:r>
      <w:r>
        <w:rPr>
          <w:color w:val="0D0D0D"/>
        </w:rPr>
        <w:t>kedua</w:t>
      </w:r>
      <w:r>
        <w:rPr>
          <w:color w:val="0D0D0D"/>
          <w:spacing w:val="40"/>
        </w:rPr>
        <w:t> </w:t>
      </w:r>
      <w:r>
        <w:rPr>
          <w:color w:val="0D0D0D"/>
        </w:rPr>
        <w:t>yang</w:t>
      </w:r>
      <w:r>
        <w:rPr>
          <w:color w:val="0D0D0D"/>
          <w:spacing w:val="40"/>
        </w:rPr>
        <w:t> </w:t>
      </w:r>
      <w:r>
        <w:rPr>
          <w:color w:val="0D0D0D"/>
        </w:rPr>
        <w:t>dimiliki</w:t>
      </w:r>
      <w:r>
        <w:rPr>
          <w:color w:val="0D0D0D"/>
          <w:spacing w:val="40"/>
        </w:rPr>
        <w:t> </w:t>
      </w:r>
      <w:r>
        <w:rPr>
          <w:color w:val="0D0D0D"/>
        </w:rPr>
        <w:t>pemerintah</w:t>
      </w:r>
      <w:r>
        <w:rPr>
          <w:color w:val="0D0D0D"/>
          <w:spacing w:val="40"/>
        </w:rPr>
        <w:t> </w:t>
      </w:r>
      <w:r>
        <w:rPr>
          <w:color w:val="0D0D0D"/>
        </w:rPr>
        <w:t>daerah</w:t>
      </w:r>
      <w:r>
        <w:rPr>
          <w:color w:val="0D0D0D"/>
          <w:spacing w:val="40"/>
        </w:rPr>
        <w:t> </w:t>
      </w:r>
      <w:r>
        <w:rPr>
          <w:color w:val="0D0D0D"/>
        </w:rPr>
        <w:t>Kabupaten</w:t>
      </w:r>
      <w:r>
        <w:rPr>
          <w:color w:val="0D0D0D"/>
          <w:spacing w:val="40"/>
        </w:rPr>
        <w:t> </w:t>
      </w:r>
      <w:r>
        <w:rPr>
          <w:color w:val="0D0D0D"/>
        </w:rPr>
        <w:t>Kutai </w:t>
      </w:r>
      <w:r>
        <w:rPr>
          <w:color w:val="0D0D0D"/>
          <w:spacing w:val="-2"/>
        </w:rPr>
        <w:t>Kartanegara.</w:t>
      </w:r>
    </w:p>
    <w:p>
      <w:pPr>
        <w:spacing w:line="335" w:lineRule="exact" w:before="80"/>
        <w:ind w:left="0" w:right="143" w:firstLine="0"/>
        <w:jc w:val="center"/>
        <w:rPr>
          <w:rFonts w:ascii="Lucida Sans Unicode"/>
          <w:sz w:val="22"/>
        </w:rPr>
      </w:pPr>
      <w:bookmarkStart w:name="_bookmark63" w:id="64"/>
      <w:bookmarkEnd w:id="64"/>
      <w:r>
        <w:rPr/>
      </w:r>
      <w:r>
        <w:rPr>
          <w:rFonts w:ascii="Tahoma"/>
          <w:b/>
          <w:sz w:val="22"/>
        </w:rPr>
        <w:t>Gambar</w:t>
      </w:r>
      <w:r>
        <w:rPr>
          <w:rFonts w:ascii="Tahoma"/>
          <w:b/>
          <w:spacing w:val="11"/>
          <w:sz w:val="22"/>
        </w:rPr>
        <w:t> </w:t>
      </w:r>
      <w:r>
        <w:rPr>
          <w:rFonts w:ascii="Tahoma"/>
          <w:b/>
          <w:sz w:val="22"/>
        </w:rPr>
        <w:t>11.</w:t>
      </w:r>
      <w:r>
        <w:rPr>
          <w:rFonts w:ascii="Tahoma"/>
          <w:b/>
          <w:spacing w:val="20"/>
          <w:sz w:val="22"/>
        </w:rPr>
        <w:t> </w:t>
      </w:r>
      <w:r>
        <w:rPr>
          <w:rFonts w:ascii="Lucida Sans Unicode"/>
          <w:sz w:val="22"/>
        </w:rPr>
        <w:t>Sebaran</w:t>
      </w:r>
      <w:r>
        <w:rPr>
          <w:rFonts w:ascii="Lucida Sans Unicode"/>
          <w:spacing w:val="19"/>
          <w:sz w:val="22"/>
        </w:rPr>
        <w:t> </w:t>
      </w:r>
      <w:r>
        <w:rPr>
          <w:rFonts w:ascii="Lucida Sans Unicode"/>
          <w:sz w:val="22"/>
        </w:rPr>
        <w:t>fasilitas</w:t>
      </w:r>
      <w:r>
        <w:rPr>
          <w:rFonts w:ascii="Lucida Sans Unicode"/>
          <w:spacing w:val="14"/>
          <w:sz w:val="22"/>
        </w:rPr>
        <w:t> </w:t>
      </w:r>
      <w:r>
        <w:rPr>
          <w:rFonts w:ascii="Lucida Sans Unicode"/>
          <w:sz w:val="22"/>
        </w:rPr>
        <w:t>layanan</w:t>
      </w:r>
      <w:r>
        <w:rPr>
          <w:rFonts w:ascii="Lucida Sans Unicode"/>
          <w:spacing w:val="19"/>
          <w:sz w:val="22"/>
        </w:rPr>
        <w:t> </w:t>
      </w:r>
      <w:r>
        <w:rPr>
          <w:rFonts w:ascii="Lucida Sans Unicode"/>
          <w:sz w:val="22"/>
        </w:rPr>
        <w:t>kesehatan</w:t>
      </w:r>
      <w:r>
        <w:rPr>
          <w:rFonts w:ascii="Lucida Sans Unicode"/>
          <w:spacing w:val="19"/>
          <w:sz w:val="22"/>
        </w:rPr>
        <w:t> </w:t>
      </w:r>
      <w:r>
        <w:rPr>
          <w:rFonts w:ascii="Lucida Sans Unicode"/>
          <w:sz w:val="22"/>
        </w:rPr>
        <w:t>masyarakat</w:t>
      </w:r>
      <w:r>
        <w:rPr>
          <w:rFonts w:ascii="Lucida Sans Unicode"/>
          <w:spacing w:val="19"/>
          <w:sz w:val="22"/>
        </w:rPr>
        <w:t> </w:t>
      </w:r>
      <w:r>
        <w:rPr>
          <w:rFonts w:ascii="Lucida Sans Unicode"/>
          <w:sz w:val="22"/>
        </w:rPr>
        <w:t>di</w:t>
      </w:r>
      <w:r>
        <w:rPr>
          <w:rFonts w:ascii="Lucida Sans Unicode"/>
          <w:spacing w:val="18"/>
          <w:sz w:val="22"/>
        </w:rPr>
        <w:t> </w:t>
      </w:r>
      <w:r>
        <w:rPr>
          <w:rFonts w:ascii="Lucida Sans Unicode"/>
          <w:spacing w:val="-4"/>
          <w:sz w:val="22"/>
        </w:rPr>
        <w:t>Kab.</w:t>
      </w:r>
    </w:p>
    <w:p>
      <w:pPr>
        <w:spacing w:line="335" w:lineRule="exact" w:before="0"/>
        <w:ind w:left="1496" w:right="1628" w:firstLine="0"/>
        <w:jc w:val="center"/>
        <w:rPr>
          <w:rFonts w:ascii="Lucida Sans Unicode"/>
          <w:sz w:val="22"/>
        </w:rPr>
      </w:pPr>
      <w:r>
        <w:rPr>
          <w:rFonts w:ascii="Lucida Sans Unicode"/>
          <w:spacing w:val="-2"/>
          <w:w w:val="105"/>
          <w:sz w:val="22"/>
        </w:rPr>
        <w:t>Kutai</w:t>
      </w:r>
      <w:r>
        <w:rPr>
          <w:rFonts w:ascii="Lucida Sans Unicode"/>
          <w:spacing w:val="-11"/>
          <w:w w:val="105"/>
          <w:sz w:val="22"/>
        </w:rPr>
        <w:t> </w:t>
      </w:r>
      <w:r>
        <w:rPr>
          <w:rFonts w:ascii="Lucida Sans Unicode"/>
          <w:spacing w:val="-2"/>
          <w:w w:val="105"/>
          <w:sz w:val="22"/>
        </w:rPr>
        <w:t>Kartanegara</w:t>
      </w:r>
      <w:r>
        <w:rPr>
          <w:rFonts w:ascii="Lucida Sans Unicode"/>
          <w:spacing w:val="-8"/>
          <w:w w:val="105"/>
          <w:sz w:val="22"/>
        </w:rPr>
        <w:t> </w:t>
      </w:r>
      <w:r>
        <w:rPr>
          <w:rFonts w:ascii="Lucida Sans Unicode"/>
          <w:spacing w:val="-2"/>
          <w:w w:val="105"/>
          <w:sz w:val="22"/>
        </w:rPr>
        <w:t>yang</w:t>
      </w:r>
      <w:r>
        <w:rPr>
          <w:rFonts w:ascii="Lucida Sans Unicode"/>
          <w:spacing w:val="-7"/>
          <w:w w:val="105"/>
          <w:sz w:val="22"/>
        </w:rPr>
        <w:t> </w:t>
      </w:r>
      <w:r>
        <w:rPr>
          <w:rFonts w:ascii="Lucida Sans Unicode"/>
          <w:spacing w:val="-2"/>
          <w:w w:val="105"/>
          <w:sz w:val="22"/>
        </w:rPr>
        <w:t>masuk</w:t>
      </w:r>
      <w:r>
        <w:rPr>
          <w:rFonts w:ascii="Lucida Sans Unicode"/>
          <w:spacing w:val="-6"/>
          <w:w w:val="105"/>
          <w:sz w:val="22"/>
        </w:rPr>
        <w:t> </w:t>
      </w:r>
      <w:r>
        <w:rPr>
          <w:rFonts w:ascii="Lucida Sans Unicode"/>
          <w:spacing w:val="-2"/>
          <w:w w:val="105"/>
          <w:sz w:val="22"/>
        </w:rPr>
        <w:t>wilayah</w:t>
      </w:r>
      <w:r>
        <w:rPr>
          <w:rFonts w:ascii="Lucida Sans Unicode"/>
          <w:spacing w:val="-5"/>
          <w:w w:val="105"/>
          <w:sz w:val="22"/>
        </w:rPr>
        <w:t> IKN</w:t>
      </w:r>
    </w:p>
    <w:p>
      <w:pPr>
        <w:pStyle w:val="BodyText"/>
        <w:jc w:val="left"/>
        <w:rPr>
          <w:rFonts w:ascii="Lucida Sans Unicode"/>
          <w:sz w:val="8"/>
        </w:rPr>
      </w:pPr>
      <w:r>
        <w:rPr>
          <w:rFonts w:ascii="Lucida Sans Unicode"/>
          <w:sz w:val="8"/>
        </w:rPr>
        <w:drawing>
          <wp:anchor distT="0" distB="0" distL="0" distR="0" allowOverlap="1" layoutInCell="1" locked="0" behindDoc="1" simplePos="0" relativeHeight="487592960">
            <wp:simplePos x="0" y="0"/>
            <wp:positionH relativeFrom="page">
              <wp:posOffset>1871345</wp:posOffset>
            </wp:positionH>
            <wp:positionV relativeFrom="paragraph">
              <wp:posOffset>93817</wp:posOffset>
            </wp:positionV>
            <wp:extent cx="4689316" cy="300037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9" cstate="print"/>
                    <a:stretch>
                      <a:fillRect/>
                    </a:stretch>
                  </pic:blipFill>
                  <pic:spPr>
                    <a:xfrm>
                      <a:off x="0" y="0"/>
                      <a:ext cx="4689316" cy="3000375"/>
                    </a:xfrm>
                    <a:prstGeom prst="rect">
                      <a:avLst/>
                    </a:prstGeom>
                  </pic:spPr>
                </pic:pic>
              </a:graphicData>
            </a:graphic>
          </wp:anchor>
        </w:drawing>
      </w:r>
    </w:p>
    <w:p>
      <w:pPr>
        <w:spacing w:line="235" w:lineRule="auto" w:before="0"/>
        <w:ind w:left="702" w:right="845" w:firstLine="0"/>
        <w:jc w:val="center"/>
        <w:rPr>
          <w:rFonts w:ascii="Lucida Sans Unicode"/>
          <w:sz w:val="22"/>
        </w:rPr>
      </w:pPr>
      <w:bookmarkStart w:name="_bookmark64" w:id="65"/>
      <w:bookmarkEnd w:id="65"/>
      <w:r>
        <w:rPr/>
      </w:r>
      <w:r>
        <w:rPr>
          <w:rFonts w:ascii="Tahoma"/>
          <w:b/>
          <w:sz w:val="22"/>
        </w:rPr>
        <w:t>Gambar 12. </w:t>
      </w:r>
      <w:r>
        <w:rPr>
          <w:rFonts w:ascii="Lucida Sans Unicode"/>
          <w:sz w:val="22"/>
        </w:rPr>
        <w:t>RSUD ABADI di Kecamatan Samboja (Survey lapangan, </w:t>
      </w:r>
      <w:r>
        <w:rPr>
          <w:rFonts w:ascii="Lucida Sans Unicode"/>
          <w:spacing w:val="-2"/>
          <w:sz w:val="22"/>
        </w:rPr>
        <w:t>2023)</w:t>
      </w:r>
    </w:p>
    <w:p>
      <w:pPr>
        <w:spacing w:after="0" w:line="235" w:lineRule="auto"/>
        <w:jc w:val="center"/>
        <w:rPr>
          <w:rFonts w:ascii="Lucida Sans Unicode"/>
          <w:sz w:val="22"/>
        </w:rPr>
        <w:sectPr>
          <w:pgSz w:w="11910" w:h="16840"/>
          <w:pgMar w:header="0" w:footer="1186" w:top="1580" w:bottom="1380" w:left="1700" w:right="992"/>
        </w:sectPr>
      </w:pPr>
    </w:p>
    <w:p>
      <w:pPr>
        <w:pStyle w:val="Heading2"/>
        <w:numPr>
          <w:ilvl w:val="0"/>
          <w:numId w:val="34"/>
        </w:numPr>
        <w:tabs>
          <w:tab w:pos="1842" w:val="left" w:leader="none"/>
        </w:tabs>
        <w:spacing w:line="240" w:lineRule="auto" w:before="82" w:after="0"/>
        <w:ind w:left="1842" w:right="0" w:hanging="566"/>
        <w:jc w:val="both"/>
      </w:pPr>
      <w:r>
        <w:rPr>
          <w:spacing w:val="-2"/>
        </w:rPr>
        <w:t>Pariwisata</w:t>
      </w:r>
    </w:p>
    <w:p>
      <w:pPr>
        <w:pStyle w:val="BodyText"/>
        <w:spacing w:line="360" w:lineRule="auto" w:before="161"/>
        <w:ind w:left="1843" w:right="704"/>
      </w:pPr>
      <w:r>
        <w:rPr>
          <w:color w:val="0D0D0D"/>
        </w:rPr>
        <w:t>Jika</w:t>
      </w:r>
      <w:r>
        <w:rPr>
          <w:color w:val="0D0D0D"/>
          <w:spacing w:val="-2"/>
        </w:rPr>
        <w:t> </w:t>
      </w:r>
      <w:r>
        <w:rPr>
          <w:color w:val="0D0D0D"/>
        </w:rPr>
        <w:t>dilihat dari sudut pandang</w:t>
      </w:r>
      <w:r>
        <w:rPr>
          <w:color w:val="0D0D0D"/>
          <w:spacing w:val="-2"/>
        </w:rPr>
        <w:t> </w:t>
      </w:r>
      <w:r>
        <w:rPr>
          <w:color w:val="0D0D0D"/>
        </w:rPr>
        <w:t>lingkungan, pariwisata</w:t>
      </w:r>
      <w:r>
        <w:rPr>
          <w:color w:val="0D0D0D"/>
          <w:spacing w:val="-2"/>
        </w:rPr>
        <w:t> </w:t>
      </w:r>
      <w:r>
        <w:rPr>
          <w:color w:val="0D0D0D"/>
        </w:rPr>
        <w:t>memiliki kapasitas</w:t>
      </w:r>
      <w:r>
        <w:rPr>
          <w:color w:val="0D0D0D"/>
          <w:spacing w:val="-7"/>
        </w:rPr>
        <w:t> </w:t>
      </w:r>
      <w:r>
        <w:rPr>
          <w:color w:val="0D0D0D"/>
        </w:rPr>
        <w:t>untuk</w:t>
      </w:r>
      <w:r>
        <w:rPr>
          <w:color w:val="0D0D0D"/>
          <w:spacing w:val="-6"/>
        </w:rPr>
        <w:t> </w:t>
      </w:r>
      <w:r>
        <w:rPr>
          <w:color w:val="0D0D0D"/>
        </w:rPr>
        <w:t>menjadi</w:t>
      </w:r>
      <w:r>
        <w:rPr>
          <w:color w:val="0D0D0D"/>
          <w:spacing w:val="-7"/>
        </w:rPr>
        <w:t> </w:t>
      </w:r>
      <w:r>
        <w:rPr>
          <w:color w:val="0D0D0D"/>
        </w:rPr>
        <w:t>penggerak</w:t>
      </w:r>
      <w:r>
        <w:rPr>
          <w:color w:val="0D0D0D"/>
          <w:spacing w:val="-5"/>
        </w:rPr>
        <w:t> </w:t>
      </w:r>
      <w:r>
        <w:rPr>
          <w:color w:val="0D0D0D"/>
        </w:rPr>
        <w:t>ekonomi</w:t>
      </w:r>
      <w:r>
        <w:rPr>
          <w:color w:val="0D0D0D"/>
          <w:spacing w:val="-3"/>
        </w:rPr>
        <w:t> </w:t>
      </w:r>
      <w:r>
        <w:rPr>
          <w:color w:val="0D0D0D"/>
        </w:rPr>
        <w:t>yang</w:t>
      </w:r>
      <w:r>
        <w:rPr>
          <w:color w:val="0D0D0D"/>
          <w:spacing w:val="-4"/>
        </w:rPr>
        <w:t> </w:t>
      </w:r>
      <w:r>
        <w:rPr/>
        <w:t>signifikan</w:t>
      </w:r>
      <w:r>
        <w:rPr>
          <w:spacing w:val="-8"/>
        </w:rPr>
        <w:t> </w:t>
      </w:r>
      <w:r>
        <w:rPr>
          <w:color w:val="0D0D0D"/>
        </w:rPr>
        <w:t>di wilayah tertentu. Daya tarik wisatawan dapat secara signifikan dipengaruhi oleh keberadaan keindahan alam, taman nasional, pantai, dan sumber daya alam lainnya. Pembangunan infrastruktur pariwisata yang bijaksana dan berkelanjutan berpotensi mendorong pertumbuhan ekonomi melalui peningkatan jumlah pengunjung. Pemanfaatan pendapatan yang dihasilkan oleh sektor pariwisata dapat diarahkan untuk investasi tambahan dalam pelestarian dan pemeliharaan lingkungan.</w:t>
      </w:r>
      <w:r>
        <w:rPr>
          <w:color w:val="0D0D0D"/>
          <w:spacing w:val="-17"/>
        </w:rPr>
        <w:t> </w:t>
      </w:r>
      <w:r>
        <w:rPr>
          <w:color w:val="0D0D0D"/>
        </w:rPr>
        <w:t>Sebagai</w:t>
      </w:r>
      <w:r>
        <w:rPr>
          <w:color w:val="0D0D0D"/>
          <w:spacing w:val="-16"/>
        </w:rPr>
        <w:t> </w:t>
      </w:r>
      <w:r>
        <w:rPr>
          <w:color w:val="0D0D0D"/>
        </w:rPr>
        <w:t>ilustrasi,</w:t>
      </w:r>
      <w:r>
        <w:rPr>
          <w:color w:val="0D0D0D"/>
          <w:spacing w:val="-17"/>
        </w:rPr>
        <w:t> </w:t>
      </w:r>
      <w:r>
        <w:rPr>
          <w:color w:val="0D0D0D"/>
        </w:rPr>
        <w:t>alokasi</w:t>
      </w:r>
      <w:r>
        <w:rPr>
          <w:color w:val="0D0D0D"/>
          <w:spacing w:val="-16"/>
        </w:rPr>
        <w:t> </w:t>
      </w:r>
      <w:r>
        <w:rPr>
          <w:color w:val="0D0D0D"/>
        </w:rPr>
        <w:t>dana</w:t>
      </w:r>
      <w:r>
        <w:rPr>
          <w:color w:val="0D0D0D"/>
          <w:spacing w:val="-17"/>
        </w:rPr>
        <w:t> </w:t>
      </w:r>
      <w:r>
        <w:rPr>
          <w:color w:val="0D0D0D"/>
        </w:rPr>
        <w:t>dapat</w:t>
      </w:r>
      <w:r>
        <w:rPr>
          <w:color w:val="0D0D0D"/>
          <w:spacing w:val="-16"/>
        </w:rPr>
        <w:t> </w:t>
      </w:r>
      <w:r>
        <w:rPr>
          <w:color w:val="0D0D0D"/>
        </w:rPr>
        <w:t>diarahkanpada inisiatif seperti program rehabilitasi hutan, upaya konservasi satwa liar, atau kampanye kesadaran lingkungan. Hubungan simbiosis antara kelestarian lingkungan dan keberlanjutan ekonomi ini akan mendorong terjadinya umpan balik yang </w:t>
      </w:r>
      <w:r>
        <w:rPr>
          <w:color w:val="0D0D0D"/>
          <w:spacing w:val="-2"/>
        </w:rPr>
        <w:t>positif.</w:t>
      </w:r>
    </w:p>
    <w:p>
      <w:pPr>
        <w:pStyle w:val="BodyText"/>
        <w:spacing w:before="162"/>
        <w:jc w:val="left"/>
      </w:pPr>
    </w:p>
    <w:p>
      <w:pPr>
        <w:pStyle w:val="BodyText"/>
        <w:spacing w:line="360" w:lineRule="auto"/>
        <w:ind w:left="1843" w:right="700"/>
      </w:pPr>
      <w:r>
        <w:rPr/>
        <w:t>Namun demikian, sejumlah potensi pariwisata di Kabupaten Kutai</w:t>
      </w:r>
      <w:r>
        <w:rPr>
          <w:spacing w:val="-15"/>
        </w:rPr>
        <w:t> </w:t>
      </w:r>
      <w:r>
        <w:rPr/>
        <w:t>Kartanegara</w:t>
      </w:r>
      <w:r>
        <w:rPr>
          <w:spacing w:val="-15"/>
        </w:rPr>
        <w:t> </w:t>
      </w:r>
      <w:r>
        <w:rPr/>
        <w:t>yang</w:t>
      </w:r>
      <w:r>
        <w:rPr>
          <w:spacing w:val="-16"/>
        </w:rPr>
        <w:t> </w:t>
      </w:r>
      <w:r>
        <w:rPr/>
        <w:t>meliputi</w:t>
      </w:r>
      <w:r>
        <w:rPr>
          <w:spacing w:val="-9"/>
        </w:rPr>
        <w:t> </w:t>
      </w:r>
      <w:r>
        <w:rPr/>
        <w:t>wisata</w:t>
      </w:r>
      <w:r>
        <w:rPr>
          <w:spacing w:val="-16"/>
        </w:rPr>
        <w:t> </w:t>
      </w:r>
      <w:r>
        <w:rPr/>
        <w:t>alam</w:t>
      </w:r>
      <w:r>
        <w:rPr>
          <w:spacing w:val="-14"/>
        </w:rPr>
        <w:t> </w:t>
      </w:r>
      <w:r>
        <w:rPr/>
        <w:t>seperti</w:t>
      </w:r>
      <w:r>
        <w:rPr>
          <w:spacing w:val="-15"/>
        </w:rPr>
        <w:t> </w:t>
      </w:r>
      <w:r>
        <w:rPr/>
        <w:t>pemandian air</w:t>
      </w:r>
      <w:r>
        <w:rPr>
          <w:spacing w:val="-10"/>
        </w:rPr>
        <w:t> </w:t>
      </w:r>
      <w:r>
        <w:rPr/>
        <w:t>panas,</w:t>
      </w:r>
      <w:r>
        <w:rPr>
          <w:spacing w:val="-7"/>
        </w:rPr>
        <w:t> </w:t>
      </w:r>
      <w:r>
        <w:rPr/>
        <w:t>taman</w:t>
      </w:r>
      <w:r>
        <w:rPr>
          <w:spacing w:val="-10"/>
        </w:rPr>
        <w:t> </w:t>
      </w:r>
      <w:r>
        <w:rPr/>
        <w:t>wisata</w:t>
      </w:r>
      <w:r>
        <w:rPr>
          <w:spacing w:val="-9"/>
        </w:rPr>
        <w:t> </w:t>
      </w:r>
      <w:r>
        <w:rPr/>
        <w:t>alam,</w:t>
      </w:r>
      <w:r>
        <w:rPr>
          <w:spacing w:val="-8"/>
        </w:rPr>
        <w:t> </w:t>
      </w:r>
      <w:r>
        <w:rPr/>
        <w:t>pantai,</w:t>
      </w:r>
      <w:r>
        <w:rPr>
          <w:spacing w:val="-7"/>
        </w:rPr>
        <w:t> </w:t>
      </w:r>
      <w:r>
        <w:rPr/>
        <w:t>hingga</w:t>
      </w:r>
      <w:r>
        <w:rPr>
          <w:spacing w:val="-10"/>
        </w:rPr>
        <w:t> </w:t>
      </w:r>
      <w:r>
        <w:rPr/>
        <w:t>Borneo</w:t>
      </w:r>
      <w:r>
        <w:rPr>
          <w:spacing w:val="-9"/>
        </w:rPr>
        <w:t> </w:t>
      </w:r>
      <w:r>
        <w:rPr/>
        <w:t>Orangutan Survival yang berfokus pada penyelamatan satwa endemic Kalimantan,</w:t>
      </w:r>
      <w:r>
        <w:rPr>
          <w:spacing w:val="-1"/>
        </w:rPr>
        <w:t> </w:t>
      </w:r>
      <w:r>
        <w:rPr/>
        <w:t>akan</w:t>
      </w:r>
      <w:r>
        <w:rPr>
          <w:spacing w:val="-3"/>
        </w:rPr>
        <w:t> </w:t>
      </w:r>
      <w:r>
        <w:rPr/>
        <w:t>dapat</w:t>
      </w:r>
      <w:r>
        <w:rPr>
          <w:spacing w:val="-1"/>
        </w:rPr>
        <w:t> </w:t>
      </w:r>
      <w:r>
        <w:rPr/>
        <w:t>beralih</w:t>
      </w:r>
      <w:r>
        <w:rPr>
          <w:spacing w:val="-3"/>
        </w:rPr>
        <w:t> </w:t>
      </w:r>
      <w:r>
        <w:rPr/>
        <w:t>ke</w:t>
      </w:r>
      <w:r>
        <w:rPr>
          <w:spacing w:val="-1"/>
        </w:rPr>
        <w:t> </w:t>
      </w:r>
      <w:r>
        <w:rPr/>
        <w:t>dalam</w:t>
      </w:r>
      <w:r>
        <w:rPr>
          <w:spacing w:val="-2"/>
        </w:rPr>
        <w:t> </w:t>
      </w:r>
      <w:r>
        <w:rPr/>
        <w:t>pengelolaan</w:t>
      </w:r>
      <w:r>
        <w:rPr>
          <w:spacing w:val="-3"/>
        </w:rPr>
        <w:t> </w:t>
      </w:r>
      <w:r>
        <w:rPr/>
        <w:t>Kawasan IKN dan berdampak pada penurunan pendapatan Kabupaten Kutai</w:t>
      </w:r>
      <w:r>
        <w:rPr>
          <w:spacing w:val="-15"/>
        </w:rPr>
        <w:t> </w:t>
      </w:r>
      <w:r>
        <w:rPr/>
        <w:t>Kartanegara</w:t>
      </w:r>
      <w:r>
        <w:rPr>
          <w:spacing w:val="-15"/>
        </w:rPr>
        <w:t> </w:t>
      </w:r>
      <w:r>
        <w:rPr/>
        <w:t>dari</w:t>
      </w:r>
      <w:r>
        <w:rPr>
          <w:spacing w:val="-15"/>
        </w:rPr>
        <w:t> </w:t>
      </w:r>
      <w:r>
        <w:rPr/>
        <w:t>sektor</w:t>
      </w:r>
      <w:r>
        <w:rPr>
          <w:spacing w:val="-11"/>
        </w:rPr>
        <w:t> </w:t>
      </w:r>
      <w:r>
        <w:rPr/>
        <w:t>pariwisata.</w:t>
      </w:r>
      <w:r>
        <w:rPr>
          <w:spacing w:val="-13"/>
        </w:rPr>
        <w:t> </w:t>
      </w:r>
      <w:r>
        <w:rPr/>
        <w:t>Secara</w:t>
      </w:r>
      <w:r>
        <w:rPr>
          <w:spacing w:val="-15"/>
        </w:rPr>
        <w:t> </w:t>
      </w:r>
      <w:r>
        <w:rPr/>
        <w:t>spasial,</w:t>
      </w:r>
      <w:r>
        <w:rPr>
          <w:spacing w:val="-14"/>
        </w:rPr>
        <w:t> </w:t>
      </w:r>
      <w:r>
        <w:rPr/>
        <w:t>sebaran lokasi</w:t>
      </w:r>
      <w:r>
        <w:rPr>
          <w:spacing w:val="-14"/>
        </w:rPr>
        <w:t> </w:t>
      </w:r>
      <w:r>
        <w:rPr/>
        <w:t>pariwisata</w:t>
      </w:r>
      <w:r>
        <w:rPr>
          <w:spacing w:val="-15"/>
        </w:rPr>
        <w:t> </w:t>
      </w:r>
      <w:r>
        <w:rPr/>
        <w:t>eksisting</w:t>
      </w:r>
      <w:r>
        <w:rPr>
          <w:spacing w:val="-15"/>
        </w:rPr>
        <w:t> </w:t>
      </w:r>
      <w:r>
        <w:rPr/>
        <w:t>di</w:t>
      </w:r>
      <w:r>
        <w:rPr>
          <w:spacing w:val="-14"/>
        </w:rPr>
        <w:t> </w:t>
      </w:r>
      <w:r>
        <w:rPr/>
        <w:t>6</w:t>
      </w:r>
      <w:r>
        <w:rPr>
          <w:spacing w:val="-13"/>
        </w:rPr>
        <w:t> </w:t>
      </w:r>
      <w:r>
        <w:rPr/>
        <w:t>kecamatan</w:t>
      </w:r>
      <w:r>
        <w:rPr>
          <w:spacing w:val="-11"/>
        </w:rPr>
        <w:t> </w:t>
      </w:r>
      <w:r>
        <w:rPr/>
        <w:t>pada</w:t>
      </w:r>
      <w:r>
        <w:rPr>
          <w:spacing w:val="-15"/>
        </w:rPr>
        <w:t> </w:t>
      </w:r>
      <w:r>
        <w:rPr/>
        <w:t>KabupatenKutai Kartanegara ditampilkan pada Gambar 13.</w:t>
      </w:r>
    </w:p>
    <w:p>
      <w:pPr>
        <w:pStyle w:val="BodyText"/>
        <w:spacing w:after="0" w:line="360" w:lineRule="auto"/>
        <w:sectPr>
          <w:pgSz w:w="11910" w:h="16840"/>
          <w:pgMar w:header="0" w:footer="1186" w:top="1580" w:bottom="1380" w:left="1700" w:right="992"/>
        </w:sectPr>
      </w:pPr>
    </w:p>
    <w:p>
      <w:pPr>
        <w:pStyle w:val="BodyText"/>
        <w:ind w:left="1300"/>
        <w:jc w:val="left"/>
        <w:rPr>
          <w:sz w:val="20"/>
        </w:rPr>
      </w:pPr>
      <w:r>
        <w:rPr>
          <w:sz w:val="20"/>
        </w:rPr>
        <w:drawing>
          <wp:inline distT="0" distB="0" distL="0" distR="0">
            <wp:extent cx="4739138" cy="3219450"/>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0" cstate="print"/>
                    <a:stretch>
                      <a:fillRect/>
                    </a:stretch>
                  </pic:blipFill>
                  <pic:spPr>
                    <a:xfrm>
                      <a:off x="0" y="0"/>
                      <a:ext cx="4739138" cy="3219450"/>
                    </a:xfrm>
                    <a:prstGeom prst="rect">
                      <a:avLst/>
                    </a:prstGeom>
                  </pic:spPr>
                </pic:pic>
              </a:graphicData>
            </a:graphic>
          </wp:inline>
        </w:drawing>
      </w:r>
      <w:r>
        <w:rPr>
          <w:sz w:val="20"/>
        </w:rPr>
      </w:r>
    </w:p>
    <w:p>
      <w:pPr>
        <w:spacing w:line="235" w:lineRule="auto" w:before="18"/>
        <w:ind w:left="3841" w:right="600" w:hanging="2757"/>
        <w:jc w:val="left"/>
        <w:rPr>
          <w:rFonts w:ascii="Lucida Sans Unicode"/>
          <w:sz w:val="22"/>
        </w:rPr>
      </w:pPr>
      <w:bookmarkStart w:name="_bookmark65" w:id="66"/>
      <w:bookmarkEnd w:id="66"/>
      <w:r>
        <w:rPr/>
      </w:r>
      <w:r>
        <w:rPr>
          <w:rFonts w:ascii="Tahoma"/>
          <w:b/>
          <w:sz w:val="22"/>
        </w:rPr>
        <w:t>Gambar 13. </w:t>
      </w:r>
      <w:r>
        <w:rPr>
          <w:rFonts w:ascii="Lucida Sans Unicode"/>
          <w:sz w:val="22"/>
        </w:rPr>
        <w:t>Lokasi pariwisata di 6 kecamatan Kabupaten Kutai </w:t>
      </w:r>
      <w:r>
        <w:rPr>
          <w:rFonts w:ascii="Lucida Sans Unicode"/>
          <w:spacing w:val="-2"/>
          <w:sz w:val="22"/>
        </w:rPr>
        <w:t>Kartanegara</w:t>
      </w:r>
    </w:p>
    <w:p>
      <w:pPr>
        <w:pStyle w:val="BodyText"/>
        <w:spacing w:before="167"/>
        <w:jc w:val="left"/>
        <w:rPr>
          <w:rFonts w:ascii="Lucida Sans Unicode"/>
          <w:sz w:val="22"/>
        </w:rPr>
      </w:pPr>
    </w:p>
    <w:p>
      <w:pPr>
        <w:pStyle w:val="BodyText"/>
        <w:spacing w:line="360" w:lineRule="auto"/>
        <w:ind w:left="1843" w:right="704"/>
      </w:pPr>
      <w:r>
        <w:rPr>
          <w:color w:val="0D0D0D"/>
        </w:rPr>
        <w:t>Garis</w:t>
      </w:r>
      <w:r>
        <w:rPr>
          <w:color w:val="0D0D0D"/>
          <w:spacing w:val="-4"/>
        </w:rPr>
        <w:t> </w:t>
      </w:r>
      <w:r>
        <w:rPr>
          <w:color w:val="0D0D0D"/>
        </w:rPr>
        <w:t>Pantai</w:t>
      </w:r>
      <w:r>
        <w:rPr>
          <w:color w:val="0D0D0D"/>
          <w:spacing w:val="-3"/>
        </w:rPr>
        <w:t> </w:t>
      </w:r>
      <w:r>
        <w:rPr>
          <w:color w:val="0D0D0D"/>
        </w:rPr>
        <w:t>di</w:t>
      </w:r>
      <w:r>
        <w:rPr>
          <w:color w:val="0D0D0D"/>
          <w:spacing w:val="-3"/>
        </w:rPr>
        <w:t> </w:t>
      </w:r>
      <w:r>
        <w:rPr>
          <w:color w:val="0D0D0D"/>
        </w:rPr>
        <w:t>Kecamatan</w:t>
      </w:r>
      <w:r>
        <w:rPr>
          <w:color w:val="0D0D0D"/>
          <w:spacing w:val="-4"/>
        </w:rPr>
        <w:t> </w:t>
      </w:r>
      <w:r>
        <w:rPr>
          <w:color w:val="0D0D0D"/>
        </w:rPr>
        <w:t>Samboja</w:t>
      </w:r>
      <w:r>
        <w:rPr>
          <w:color w:val="0D0D0D"/>
          <w:spacing w:val="-5"/>
        </w:rPr>
        <w:t> </w:t>
      </w:r>
      <w:r>
        <w:rPr>
          <w:color w:val="0D0D0D"/>
        </w:rPr>
        <w:t>dan</w:t>
      </w:r>
      <w:r>
        <w:rPr>
          <w:color w:val="0D0D0D"/>
          <w:spacing w:val="-4"/>
        </w:rPr>
        <w:t> </w:t>
      </w:r>
      <w:r>
        <w:rPr>
          <w:color w:val="0D0D0D"/>
        </w:rPr>
        <w:t>Samboja</w:t>
      </w:r>
      <w:r>
        <w:rPr>
          <w:color w:val="0D0D0D"/>
          <w:spacing w:val="-5"/>
        </w:rPr>
        <w:t> </w:t>
      </w:r>
      <w:r>
        <w:rPr>
          <w:color w:val="0D0D0D"/>
        </w:rPr>
        <w:t>Barat</w:t>
      </w:r>
      <w:r>
        <w:rPr>
          <w:color w:val="0D0D0D"/>
          <w:spacing w:val="-2"/>
        </w:rPr>
        <w:t> </w:t>
      </w:r>
      <w:r>
        <w:rPr>
          <w:color w:val="0D0D0D"/>
        </w:rPr>
        <w:t>dengan profil topografi pesisir yang cenderung landai menawarkan potensi pariwisata yang telah diminati banyak pengunjung di akhir pekan (Gambar 14). Beberapa pariwisata pantai yang berkontribusi pada pendapatan daerah melalui retribusi dan dikelola oleh Pokdarwis diantaranya Pantai Pemedas, Pantai Duta Pemedas, Pantai Tanjung Harapan dan Pantai Tanah </w:t>
      </w:r>
      <w:r>
        <w:rPr>
          <w:color w:val="0D0D0D"/>
          <w:spacing w:val="-2"/>
        </w:rPr>
        <w:t>Merah.</w:t>
      </w:r>
    </w:p>
    <w:p>
      <w:pPr>
        <w:pStyle w:val="BodyText"/>
        <w:spacing w:after="0" w:line="360" w:lineRule="auto"/>
        <w:sectPr>
          <w:pgSz w:w="11910" w:h="16840"/>
          <w:pgMar w:header="0" w:footer="1186" w:top="1720" w:bottom="1380" w:left="1700" w:right="992"/>
        </w:sect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spacing w:before="72"/>
        <w:jc w:val="left"/>
        <w:rPr>
          <w:sz w:val="22"/>
        </w:rPr>
      </w:pPr>
    </w:p>
    <w:p>
      <w:pPr>
        <w:spacing w:before="0"/>
        <w:ind w:left="1032" w:right="0" w:firstLine="0"/>
        <w:jc w:val="left"/>
        <w:rPr>
          <w:rFonts w:ascii="Lucida Sans Unicode"/>
          <w:sz w:val="22"/>
        </w:rPr>
      </w:pPr>
      <w:bookmarkStart w:name="_bookmark66" w:id="67"/>
      <w:bookmarkEnd w:id="67"/>
      <w:r>
        <w:rPr/>
      </w:r>
      <w:r>
        <w:rPr>
          <w:rFonts w:ascii="Tahoma"/>
          <w:b/>
          <w:w w:val="105"/>
          <w:sz w:val="22"/>
        </w:rPr>
        <w:t>Gambar</w:t>
      </w:r>
      <w:r>
        <w:rPr>
          <w:rFonts w:ascii="Tahoma"/>
          <w:b/>
          <w:spacing w:val="-17"/>
          <w:w w:val="105"/>
          <w:sz w:val="22"/>
        </w:rPr>
        <w:t> </w:t>
      </w:r>
      <w:r>
        <w:rPr>
          <w:rFonts w:ascii="Tahoma"/>
          <w:b/>
          <w:w w:val="105"/>
          <w:sz w:val="22"/>
        </w:rPr>
        <w:t>14.</w:t>
      </w:r>
      <w:r>
        <w:rPr>
          <w:rFonts w:ascii="Tahoma"/>
          <w:b/>
          <w:spacing w:val="-13"/>
          <w:w w:val="105"/>
          <w:sz w:val="22"/>
        </w:rPr>
        <w:t> </w:t>
      </w:r>
      <w:r>
        <w:rPr>
          <w:rFonts w:ascii="Lucida Sans Unicode"/>
          <w:w w:val="105"/>
          <w:sz w:val="22"/>
        </w:rPr>
        <w:t>Destinasi</w:t>
      </w:r>
      <w:r>
        <w:rPr>
          <w:rFonts w:ascii="Lucida Sans Unicode"/>
          <w:spacing w:val="-14"/>
          <w:w w:val="105"/>
          <w:sz w:val="22"/>
        </w:rPr>
        <w:t> </w:t>
      </w:r>
      <w:r>
        <w:rPr>
          <w:rFonts w:ascii="Lucida Sans Unicode"/>
          <w:w w:val="105"/>
          <w:sz w:val="22"/>
        </w:rPr>
        <w:t>pariwisata</w:t>
      </w:r>
      <w:r>
        <w:rPr>
          <w:rFonts w:ascii="Lucida Sans Unicode"/>
          <w:spacing w:val="-16"/>
          <w:w w:val="105"/>
          <w:sz w:val="22"/>
        </w:rPr>
        <w:t> </w:t>
      </w:r>
      <w:r>
        <w:rPr>
          <w:rFonts w:ascii="Lucida Sans Unicode"/>
          <w:w w:val="105"/>
          <w:sz w:val="22"/>
        </w:rPr>
        <w:t>pantai</w:t>
      </w:r>
      <w:r>
        <w:rPr>
          <w:rFonts w:ascii="Lucida Sans Unicode"/>
          <w:spacing w:val="-15"/>
          <w:w w:val="105"/>
          <w:sz w:val="22"/>
        </w:rPr>
        <w:t> </w:t>
      </w:r>
      <w:r>
        <w:rPr>
          <w:rFonts w:ascii="Lucida Sans Unicode"/>
          <w:w w:val="105"/>
          <w:sz w:val="22"/>
        </w:rPr>
        <w:t>di</w:t>
      </w:r>
      <w:r>
        <w:rPr>
          <w:rFonts w:ascii="Lucida Sans Unicode"/>
          <w:spacing w:val="-15"/>
          <w:w w:val="105"/>
          <w:sz w:val="22"/>
        </w:rPr>
        <w:t> </w:t>
      </w:r>
      <w:r>
        <w:rPr>
          <w:rFonts w:ascii="Lucida Sans Unicode"/>
          <w:w w:val="105"/>
          <w:sz w:val="22"/>
        </w:rPr>
        <w:t>Kecamatan</w:t>
      </w:r>
      <w:r>
        <w:rPr>
          <w:rFonts w:ascii="Lucida Sans Unicode"/>
          <w:spacing w:val="-14"/>
          <w:w w:val="105"/>
          <w:sz w:val="22"/>
        </w:rPr>
        <w:t> </w:t>
      </w:r>
      <w:r>
        <w:rPr>
          <w:rFonts w:ascii="Lucida Sans Unicode"/>
          <w:spacing w:val="-2"/>
          <w:w w:val="105"/>
          <w:sz w:val="22"/>
        </w:rPr>
        <w:t>Samboja</w:t>
      </w:r>
    </w:p>
    <w:p>
      <w:pPr>
        <w:pStyle w:val="BodyText"/>
        <w:spacing w:before="324"/>
        <w:jc w:val="left"/>
        <w:rPr>
          <w:rFonts w:ascii="Lucida Sans Unicode"/>
          <w:sz w:val="22"/>
        </w:rPr>
      </w:pPr>
    </w:p>
    <w:p>
      <w:pPr>
        <w:pStyle w:val="BodyText"/>
        <w:spacing w:line="360" w:lineRule="auto"/>
        <w:ind w:left="1843" w:right="697"/>
      </w:pPr>
      <w:r>
        <w:rPr>
          <w:color w:val="0D0D0D"/>
        </w:rPr>
        <w:t>Berdasarkan</w:t>
      </w:r>
      <w:r>
        <w:rPr>
          <w:color w:val="0D0D0D"/>
          <w:spacing w:val="-11"/>
        </w:rPr>
        <w:t> </w:t>
      </w:r>
      <w:r>
        <w:rPr>
          <w:color w:val="0D0D0D"/>
        </w:rPr>
        <w:t>hasil</w:t>
      </w:r>
      <w:r>
        <w:rPr>
          <w:color w:val="0D0D0D"/>
          <w:spacing w:val="-12"/>
        </w:rPr>
        <w:t> </w:t>
      </w:r>
      <w:r>
        <w:rPr>
          <w:color w:val="0D0D0D"/>
        </w:rPr>
        <w:t>wawancara</w:t>
      </w:r>
      <w:r>
        <w:rPr>
          <w:color w:val="0D0D0D"/>
          <w:spacing w:val="-8"/>
        </w:rPr>
        <w:t> </w:t>
      </w:r>
      <w:r>
        <w:rPr>
          <w:color w:val="0D0D0D"/>
        </w:rPr>
        <w:t>dengan</w:t>
      </w:r>
      <w:r>
        <w:rPr>
          <w:color w:val="0D0D0D"/>
          <w:spacing w:val="-8"/>
        </w:rPr>
        <w:t> </w:t>
      </w:r>
      <w:r>
        <w:rPr>
          <w:color w:val="0D0D0D"/>
        </w:rPr>
        <w:t>pengelola</w:t>
      </w:r>
      <w:r>
        <w:rPr>
          <w:color w:val="0D0D0D"/>
          <w:spacing w:val="-8"/>
        </w:rPr>
        <w:t> </w:t>
      </w:r>
      <w:r>
        <w:rPr>
          <w:color w:val="0D0D0D"/>
        </w:rPr>
        <w:t>Pantai</w:t>
      </w:r>
      <w:r>
        <w:rPr>
          <w:color w:val="0D0D0D"/>
          <w:spacing w:val="-8"/>
        </w:rPr>
        <w:t> </w:t>
      </w:r>
      <w:r>
        <w:rPr>
          <w:color w:val="0D0D0D"/>
        </w:rPr>
        <w:t>Tanjung Harapan (Survey lapangan, 2023) diketahui bahwa antusiasme </w:t>
      </w:r>
      <w:r>
        <w:rPr/>
        <w:t>masyarakat </w:t>
      </w:r>
      <w:r>
        <w:rPr>
          <w:color w:val="0D0D0D"/>
        </w:rPr>
        <w:t>untuk berlibur di pantai meningkat di akhir pekan sehingga memberikan pemasukkan yang signifikan dan digunakan untuk pengelolaan lingkungan pariwisata pesisir. Dampak dari model pengelolaan lingkungan yang dirancang dengan baik terhadap keberlanjutan pariwisata dapat dilihat dari berbagai aspek, seperti lingkungan eksternal, kapasitas manajemen, dan kinerja lembaga yang terlibat dengan kelompok masyarakat melalui pendekatan partisipatif (Sudipa et al., 2020). Dengan masuknya beberapa objek wisata dalam delineasi kawasan IKN membawa dampak ketidakpastian pengelolaan lingkungan objek pariwisata untuk mendukung pengelolaan pariwisata secara berkelanjutan.</w:t>
      </w:r>
    </w:p>
    <w:p>
      <w:pPr>
        <w:pStyle w:val="BodyText"/>
        <w:spacing w:after="0" w:line="360" w:lineRule="auto"/>
        <w:sectPr>
          <w:pgSz w:w="11910" w:h="16840"/>
          <w:pgMar w:header="0" w:footer="1186" w:top="1920" w:bottom="1380" w:left="1700" w:right="992"/>
        </w:sectPr>
      </w:pPr>
    </w:p>
    <w:p>
      <w:pPr>
        <w:pStyle w:val="ListParagraph"/>
        <w:numPr>
          <w:ilvl w:val="0"/>
          <w:numId w:val="34"/>
        </w:numPr>
        <w:tabs>
          <w:tab w:pos="1842" w:val="left" w:leader="none"/>
        </w:tabs>
        <w:spacing w:line="240" w:lineRule="auto" w:before="82" w:after="0"/>
        <w:ind w:left="1842" w:right="0" w:hanging="623"/>
        <w:jc w:val="both"/>
        <w:rPr>
          <w:b/>
          <w:sz w:val="24"/>
        </w:rPr>
      </w:pPr>
      <w:r>
        <w:rPr>
          <w:b/>
          <w:color w:val="0D0D0D"/>
          <w:sz w:val="24"/>
        </w:rPr>
        <w:t>Fasilitas</w:t>
      </w:r>
      <w:r>
        <w:rPr>
          <w:b/>
          <w:color w:val="0D0D0D"/>
          <w:spacing w:val="-13"/>
          <w:sz w:val="24"/>
        </w:rPr>
        <w:t> </w:t>
      </w:r>
      <w:r>
        <w:rPr>
          <w:b/>
          <w:color w:val="0D0D0D"/>
          <w:spacing w:val="-2"/>
          <w:sz w:val="24"/>
        </w:rPr>
        <w:t>Pendidikan</w:t>
      </w:r>
    </w:p>
    <w:p>
      <w:pPr>
        <w:pStyle w:val="BodyText"/>
        <w:spacing w:line="360" w:lineRule="auto" w:before="161"/>
        <w:ind w:left="1843" w:right="699"/>
      </w:pPr>
      <w:r>
        <w:rPr>
          <w:color w:val="0D0D0D"/>
        </w:rPr>
        <w:t>Berdasarkan Data Pokok Pendidikan Direktorat Jenderal Pendidikan Anak Usia Dini, Pendidikan Dasar dan Pendidikan Menengah Tahun 2023, tercatat 428 sekolah berstatus negeri dan swasta yang berada di Kecamatan Samboja (termasuk Samboja Barat), Kecamatan Muara Jawa, Kecamatan Sanga- Sanga, Kecamatan</w:t>
      </w:r>
      <w:r>
        <w:rPr>
          <w:color w:val="0D0D0D"/>
          <w:spacing w:val="-1"/>
        </w:rPr>
        <w:t> </w:t>
      </w:r>
      <w:r>
        <w:rPr>
          <w:color w:val="0D0D0D"/>
        </w:rPr>
        <w:t>Loa</w:t>
      </w:r>
      <w:r>
        <w:rPr>
          <w:color w:val="0D0D0D"/>
          <w:spacing w:val="-2"/>
        </w:rPr>
        <w:t> </w:t>
      </w:r>
      <w:r>
        <w:rPr>
          <w:color w:val="0D0D0D"/>
        </w:rPr>
        <w:t>Janan, dan</w:t>
      </w:r>
      <w:r>
        <w:rPr>
          <w:color w:val="0D0D0D"/>
          <w:spacing w:val="-1"/>
        </w:rPr>
        <w:t> </w:t>
      </w:r>
      <w:r>
        <w:rPr>
          <w:color w:val="0D0D0D"/>
        </w:rPr>
        <w:t>Kecamatan Loa</w:t>
      </w:r>
      <w:r>
        <w:rPr>
          <w:color w:val="0D0D0D"/>
          <w:spacing w:val="-2"/>
        </w:rPr>
        <w:t> </w:t>
      </w:r>
      <w:r>
        <w:rPr>
          <w:color w:val="0D0D0D"/>
        </w:rPr>
        <w:t>Kulu. Jumlah tersebut</w:t>
      </w:r>
      <w:r>
        <w:rPr>
          <w:color w:val="0D0D0D"/>
          <w:spacing w:val="-7"/>
        </w:rPr>
        <w:t> </w:t>
      </w:r>
      <w:r>
        <w:rPr>
          <w:color w:val="0D0D0D"/>
        </w:rPr>
        <w:t>meliputi</w:t>
      </w:r>
      <w:r>
        <w:rPr>
          <w:color w:val="0D0D0D"/>
          <w:spacing w:val="-8"/>
        </w:rPr>
        <w:t> </w:t>
      </w:r>
      <w:r>
        <w:rPr>
          <w:color w:val="0D0D0D"/>
        </w:rPr>
        <w:t>beragam</w:t>
      </w:r>
      <w:r>
        <w:rPr>
          <w:color w:val="0D0D0D"/>
          <w:spacing w:val="-8"/>
        </w:rPr>
        <w:t> </w:t>
      </w:r>
      <w:r>
        <w:rPr>
          <w:color w:val="0D0D0D"/>
        </w:rPr>
        <w:t>tingkat</w:t>
      </w:r>
      <w:r>
        <w:rPr>
          <w:color w:val="0D0D0D"/>
          <w:spacing w:val="-7"/>
        </w:rPr>
        <w:t> </w:t>
      </w:r>
      <w:r>
        <w:rPr>
          <w:color w:val="0D0D0D"/>
        </w:rPr>
        <w:t>pendidikan</w:t>
      </w:r>
      <w:r>
        <w:rPr>
          <w:color w:val="0D0D0D"/>
          <w:spacing w:val="-5"/>
        </w:rPr>
        <w:t> </w:t>
      </w:r>
      <w:r>
        <w:rPr>
          <w:color w:val="0D0D0D"/>
        </w:rPr>
        <w:t>yang</w:t>
      </w:r>
      <w:r>
        <w:rPr>
          <w:color w:val="0D0D0D"/>
          <w:spacing w:val="-10"/>
        </w:rPr>
        <w:t> </w:t>
      </w:r>
      <w:r>
        <w:rPr>
          <w:color w:val="0D0D0D"/>
        </w:rPr>
        <w:t>secara</w:t>
      </w:r>
      <w:r>
        <w:rPr>
          <w:color w:val="0D0D0D"/>
          <w:spacing w:val="-10"/>
        </w:rPr>
        <w:t> </w:t>
      </w:r>
      <w:r>
        <w:rPr>
          <w:color w:val="0D0D0D"/>
        </w:rPr>
        <w:t>rinci tertampil pada Tabel 14. Secara spasial dengan mengikuti delineasi batas kawasan IKN, sebanyak 200 sekolah yang tersebar di 39 desa yang masuk kedalam wilayah pengembangan IKN berhasil diidentifikasi lokasinya sebagaimana</w:t>
      </w:r>
      <w:r>
        <w:rPr>
          <w:color w:val="0D0D0D"/>
          <w:spacing w:val="40"/>
        </w:rPr>
        <w:t> </w:t>
      </w:r>
      <w:r>
        <w:rPr>
          <w:color w:val="0D0D0D"/>
        </w:rPr>
        <w:t>ditampilkan dalam Gambar 15.</w:t>
      </w:r>
    </w:p>
    <w:p>
      <w:pPr>
        <w:pStyle w:val="BodyText"/>
        <w:spacing w:before="180"/>
        <w:jc w:val="left"/>
      </w:pPr>
    </w:p>
    <w:p>
      <w:pPr>
        <w:spacing w:line="235" w:lineRule="auto" w:before="0"/>
        <w:ind w:left="3841" w:right="0" w:hanging="3193"/>
        <w:jc w:val="left"/>
        <w:rPr>
          <w:rFonts w:ascii="Lucida Sans Unicode"/>
          <w:sz w:val="22"/>
        </w:rPr>
      </w:pPr>
      <w:bookmarkStart w:name="_bookmark67" w:id="68"/>
      <w:bookmarkEnd w:id="68"/>
      <w:r>
        <w:rPr/>
      </w:r>
      <w:r>
        <w:rPr>
          <w:rFonts w:ascii="Tahoma"/>
          <w:b/>
          <w:sz w:val="22"/>
        </w:rPr>
        <w:t>Tabel 14. </w:t>
      </w:r>
      <w:r>
        <w:rPr>
          <w:rFonts w:ascii="Lucida Sans Unicode"/>
          <w:sz w:val="22"/>
        </w:rPr>
        <w:t>Jumlah Fasilitas Pendidikan di 6 Kecamatan Kabupaten Kutai </w:t>
      </w:r>
      <w:r>
        <w:rPr>
          <w:rFonts w:ascii="Lucida Sans Unicode"/>
          <w:spacing w:val="-2"/>
          <w:sz w:val="22"/>
        </w:rPr>
        <w:t>Kartanegara</w:t>
      </w:r>
    </w:p>
    <w:p>
      <w:pPr>
        <w:pStyle w:val="BodyText"/>
        <w:spacing w:before="9" w:after="1"/>
        <w:jc w:val="left"/>
        <w:rPr>
          <w:rFonts w:ascii="Lucida Sans Unicode"/>
          <w:sz w:val="11"/>
        </w:rPr>
      </w:pPr>
    </w:p>
    <w:tbl>
      <w:tblPr>
        <w:tblW w:w="0" w:type="auto"/>
        <w:jc w:val="left"/>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060"/>
        <w:gridCol w:w="614"/>
        <w:gridCol w:w="508"/>
        <w:gridCol w:w="436"/>
        <w:gridCol w:w="536"/>
        <w:gridCol w:w="507"/>
        <w:gridCol w:w="690"/>
        <w:gridCol w:w="526"/>
        <w:gridCol w:w="507"/>
        <w:gridCol w:w="569"/>
        <w:gridCol w:w="589"/>
        <w:gridCol w:w="574"/>
        <w:gridCol w:w="507"/>
      </w:tblGrid>
      <w:tr>
        <w:trPr>
          <w:trHeight w:val="321" w:hRule="atLeast"/>
        </w:trPr>
        <w:tc>
          <w:tcPr>
            <w:tcW w:w="456" w:type="dxa"/>
          </w:tcPr>
          <w:p>
            <w:pPr>
              <w:pStyle w:val="TableParagraph"/>
              <w:spacing w:before="4"/>
              <w:ind w:right="104"/>
              <w:jc w:val="right"/>
              <w:rPr>
                <w:b/>
                <w:sz w:val="16"/>
              </w:rPr>
            </w:pPr>
            <w:r>
              <w:rPr>
                <w:b/>
                <w:spacing w:val="-5"/>
                <w:sz w:val="16"/>
              </w:rPr>
              <w:t>No</w:t>
            </w:r>
          </w:p>
        </w:tc>
        <w:tc>
          <w:tcPr>
            <w:tcW w:w="1060" w:type="dxa"/>
          </w:tcPr>
          <w:p>
            <w:pPr>
              <w:pStyle w:val="TableParagraph"/>
              <w:spacing w:before="4"/>
              <w:ind w:left="120"/>
              <w:rPr>
                <w:b/>
                <w:sz w:val="16"/>
              </w:rPr>
            </w:pPr>
            <w:r>
              <w:rPr>
                <w:b/>
                <w:spacing w:val="-2"/>
                <w:sz w:val="16"/>
              </w:rPr>
              <w:t>Kecamatan</w:t>
            </w:r>
          </w:p>
        </w:tc>
        <w:tc>
          <w:tcPr>
            <w:tcW w:w="614" w:type="dxa"/>
            <w:shd w:val="clear" w:color="auto" w:fill="B4C5E7"/>
          </w:tcPr>
          <w:p>
            <w:pPr>
              <w:pStyle w:val="TableParagraph"/>
              <w:spacing w:before="4"/>
              <w:ind w:right="100"/>
              <w:jc w:val="right"/>
              <w:rPr>
                <w:b/>
                <w:sz w:val="16"/>
              </w:rPr>
            </w:pPr>
            <w:r>
              <w:rPr>
                <w:b/>
                <w:spacing w:val="-2"/>
                <w:sz w:val="16"/>
              </w:rPr>
              <w:t>Total</w:t>
            </w:r>
          </w:p>
        </w:tc>
        <w:tc>
          <w:tcPr>
            <w:tcW w:w="508" w:type="dxa"/>
          </w:tcPr>
          <w:p>
            <w:pPr>
              <w:pStyle w:val="TableParagraph"/>
              <w:spacing w:before="4"/>
              <w:ind w:left="122"/>
              <w:rPr>
                <w:b/>
                <w:sz w:val="16"/>
              </w:rPr>
            </w:pPr>
            <w:r>
              <w:rPr>
                <w:b/>
                <w:spacing w:val="-5"/>
                <w:sz w:val="16"/>
              </w:rPr>
              <w:t>TK</w:t>
            </w:r>
          </w:p>
        </w:tc>
        <w:tc>
          <w:tcPr>
            <w:tcW w:w="436" w:type="dxa"/>
          </w:tcPr>
          <w:p>
            <w:pPr>
              <w:pStyle w:val="TableParagraph"/>
              <w:spacing w:before="4"/>
              <w:ind w:left="59" w:right="49"/>
              <w:jc w:val="center"/>
              <w:rPr>
                <w:b/>
                <w:sz w:val="16"/>
              </w:rPr>
            </w:pPr>
            <w:r>
              <w:rPr>
                <w:b/>
                <w:spacing w:val="-5"/>
                <w:sz w:val="16"/>
              </w:rPr>
              <w:t>KB</w:t>
            </w:r>
          </w:p>
        </w:tc>
        <w:tc>
          <w:tcPr>
            <w:tcW w:w="536" w:type="dxa"/>
          </w:tcPr>
          <w:p>
            <w:pPr>
              <w:pStyle w:val="TableParagraph"/>
              <w:spacing w:before="4"/>
              <w:ind w:right="101"/>
              <w:jc w:val="right"/>
              <w:rPr>
                <w:b/>
                <w:sz w:val="16"/>
              </w:rPr>
            </w:pPr>
            <w:r>
              <w:rPr>
                <w:b/>
                <w:spacing w:val="-5"/>
                <w:sz w:val="16"/>
              </w:rPr>
              <w:t>TPA</w:t>
            </w:r>
          </w:p>
        </w:tc>
        <w:tc>
          <w:tcPr>
            <w:tcW w:w="507" w:type="dxa"/>
          </w:tcPr>
          <w:p>
            <w:pPr>
              <w:pStyle w:val="TableParagraph"/>
              <w:spacing w:before="4"/>
              <w:ind w:right="93"/>
              <w:jc w:val="right"/>
              <w:rPr>
                <w:b/>
                <w:sz w:val="16"/>
              </w:rPr>
            </w:pPr>
            <w:r>
              <w:rPr>
                <w:b/>
                <w:spacing w:val="-5"/>
                <w:sz w:val="16"/>
              </w:rPr>
              <w:t>SPS</w:t>
            </w:r>
          </w:p>
        </w:tc>
        <w:tc>
          <w:tcPr>
            <w:tcW w:w="690" w:type="dxa"/>
          </w:tcPr>
          <w:p>
            <w:pPr>
              <w:pStyle w:val="TableParagraph"/>
              <w:spacing w:before="4"/>
              <w:ind w:right="101"/>
              <w:jc w:val="right"/>
              <w:rPr>
                <w:b/>
                <w:sz w:val="16"/>
              </w:rPr>
            </w:pPr>
            <w:r>
              <w:rPr>
                <w:b/>
                <w:spacing w:val="-4"/>
                <w:sz w:val="16"/>
              </w:rPr>
              <w:t>PKBM</w:t>
            </w:r>
          </w:p>
        </w:tc>
        <w:tc>
          <w:tcPr>
            <w:tcW w:w="526" w:type="dxa"/>
          </w:tcPr>
          <w:p>
            <w:pPr>
              <w:pStyle w:val="TableParagraph"/>
              <w:spacing w:before="4"/>
              <w:ind w:right="96"/>
              <w:jc w:val="right"/>
              <w:rPr>
                <w:b/>
                <w:sz w:val="16"/>
              </w:rPr>
            </w:pPr>
            <w:r>
              <w:rPr>
                <w:b/>
                <w:spacing w:val="-5"/>
                <w:sz w:val="16"/>
              </w:rPr>
              <w:t>SKB</w:t>
            </w:r>
          </w:p>
        </w:tc>
        <w:tc>
          <w:tcPr>
            <w:tcW w:w="507" w:type="dxa"/>
          </w:tcPr>
          <w:p>
            <w:pPr>
              <w:pStyle w:val="TableParagraph"/>
              <w:spacing w:before="4"/>
              <w:ind w:left="126"/>
              <w:rPr>
                <w:b/>
                <w:sz w:val="16"/>
              </w:rPr>
            </w:pPr>
            <w:r>
              <w:rPr>
                <w:b/>
                <w:spacing w:val="-5"/>
                <w:sz w:val="16"/>
              </w:rPr>
              <w:t>SD</w:t>
            </w:r>
          </w:p>
        </w:tc>
        <w:tc>
          <w:tcPr>
            <w:tcW w:w="569" w:type="dxa"/>
          </w:tcPr>
          <w:p>
            <w:pPr>
              <w:pStyle w:val="TableParagraph"/>
              <w:spacing w:before="4"/>
              <w:ind w:right="86"/>
              <w:jc w:val="right"/>
              <w:rPr>
                <w:b/>
                <w:sz w:val="16"/>
              </w:rPr>
            </w:pPr>
            <w:r>
              <w:rPr>
                <w:b/>
                <w:spacing w:val="-5"/>
                <w:sz w:val="16"/>
              </w:rPr>
              <w:t>SMP</w:t>
            </w:r>
          </w:p>
        </w:tc>
        <w:tc>
          <w:tcPr>
            <w:tcW w:w="589" w:type="dxa"/>
          </w:tcPr>
          <w:p>
            <w:pPr>
              <w:pStyle w:val="TableParagraph"/>
              <w:spacing w:before="4"/>
              <w:ind w:right="95"/>
              <w:jc w:val="right"/>
              <w:rPr>
                <w:b/>
                <w:sz w:val="16"/>
              </w:rPr>
            </w:pPr>
            <w:r>
              <w:rPr>
                <w:b/>
                <w:spacing w:val="-5"/>
                <w:sz w:val="16"/>
              </w:rPr>
              <w:t>SMA</w:t>
            </w:r>
          </w:p>
        </w:tc>
        <w:tc>
          <w:tcPr>
            <w:tcW w:w="574" w:type="dxa"/>
          </w:tcPr>
          <w:p>
            <w:pPr>
              <w:pStyle w:val="TableParagraph"/>
              <w:spacing w:before="4"/>
              <w:ind w:right="86"/>
              <w:jc w:val="right"/>
              <w:rPr>
                <w:b/>
                <w:sz w:val="16"/>
              </w:rPr>
            </w:pPr>
            <w:r>
              <w:rPr>
                <w:b/>
                <w:spacing w:val="-5"/>
                <w:sz w:val="16"/>
              </w:rPr>
              <w:t>SMK</w:t>
            </w:r>
          </w:p>
        </w:tc>
        <w:tc>
          <w:tcPr>
            <w:tcW w:w="507" w:type="dxa"/>
          </w:tcPr>
          <w:p>
            <w:pPr>
              <w:pStyle w:val="TableParagraph"/>
              <w:spacing w:before="4"/>
              <w:ind w:right="91"/>
              <w:jc w:val="right"/>
              <w:rPr>
                <w:b/>
                <w:sz w:val="16"/>
              </w:rPr>
            </w:pPr>
            <w:r>
              <w:rPr>
                <w:b/>
                <w:spacing w:val="-5"/>
                <w:sz w:val="16"/>
              </w:rPr>
              <w:t>SLB</w:t>
            </w:r>
          </w:p>
        </w:tc>
      </w:tr>
      <w:tr>
        <w:trPr>
          <w:trHeight w:val="316" w:hRule="atLeast"/>
        </w:trPr>
        <w:tc>
          <w:tcPr>
            <w:tcW w:w="456" w:type="dxa"/>
          </w:tcPr>
          <w:p>
            <w:pPr>
              <w:pStyle w:val="TableParagraph"/>
              <w:ind w:right="104"/>
              <w:jc w:val="right"/>
              <w:rPr>
                <w:sz w:val="16"/>
              </w:rPr>
            </w:pPr>
            <w:r>
              <w:rPr>
                <w:spacing w:val="-10"/>
                <w:sz w:val="16"/>
              </w:rPr>
              <w:t>1</w:t>
            </w:r>
          </w:p>
        </w:tc>
        <w:tc>
          <w:tcPr>
            <w:tcW w:w="1060" w:type="dxa"/>
          </w:tcPr>
          <w:p>
            <w:pPr>
              <w:pStyle w:val="TableParagraph"/>
              <w:ind w:left="120"/>
              <w:rPr>
                <w:sz w:val="16"/>
              </w:rPr>
            </w:pPr>
            <w:r>
              <w:rPr>
                <w:spacing w:val="-2"/>
                <w:sz w:val="16"/>
              </w:rPr>
              <w:t>Samboja</w:t>
            </w:r>
          </w:p>
        </w:tc>
        <w:tc>
          <w:tcPr>
            <w:tcW w:w="614" w:type="dxa"/>
            <w:shd w:val="clear" w:color="auto" w:fill="B4C5E7"/>
          </w:tcPr>
          <w:p>
            <w:pPr>
              <w:pStyle w:val="TableParagraph"/>
              <w:ind w:right="91"/>
              <w:jc w:val="right"/>
              <w:rPr>
                <w:sz w:val="16"/>
              </w:rPr>
            </w:pPr>
            <w:r>
              <w:rPr>
                <w:spacing w:val="-5"/>
                <w:sz w:val="16"/>
              </w:rPr>
              <w:t>130</w:t>
            </w:r>
          </w:p>
        </w:tc>
        <w:tc>
          <w:tcPr>
            <w:tcW w:w="508" w:type="dxa"/>
          </w:tcPr>
          <w:p>
            <w:pPr>
              <w:pStyle w:val="TableParagraph"/>
              <w:ind w:right="95"/>
              <w:jc w:val="right"/>
              <w:rPr>
                <w:i/>
                <w:sz w:val="16"/>
              </w:rPr>
            </w:pPr>
            <w:r>
              <w:rPr>
                <w:i/>
                <w:spacing w:val="-5"/>
                <w:sz w:val="16"/>
              </w:rPr>
              <w:t>40</w:t>
            </w:r>
          </w:p>
        </w:tc>
        <w:tc>
          <w:tcPr>
            <w:tcW w:w="436" w:type="dxa"/>
          </w:tcPr>
          <w:p>
            <w:pPr>
              <w:pStyle w:val="TableParagraph"/>
              <w:ind w:left="59"/>
              <w:jc w:val="center"/>
              <w:rPr>
                <w:i/>
                <w:sz w:val="16"/>
              </w:rPr>
            </w:pPr>
            <w:r>
              <w:rPr>
                <w:i/>
                <w:spacing w:val="-5"/>
                <w:sz w:val="16"/>
              </w:rPr>
              <w:t>17</w:t>
            </w:r>
          </w:p>
        </w:tc>
        <w:tc>
          <w:tcPr>
            <w:tcW w:w="536" w:type="dxa"/>
          </w:tcPr>
          <w:p>
            <w:pPr>
              <w:pStyle w:val="TableParagraph"/>
              <w:ind w:right="103"/>
              <w:jc w:val="right"/>
              <w:rPr>
                <w:i/>
                <w:sz w:val="16"/>
              </w:rPr>
            </w:pPr>
            <w:r>
              <w:rPr>
                <w:i/>
                <w:spacing w:val="-10"/>
                <w:sz w:val="16"/>
              </w:rPr>
              <w:t>2</w:t>
            </w:r>
          </w:p>
        </w:tc>
        <w:tc>
          <w:tcPr>
            <w:tcW w:w="507" w:type="dxa"/>
          </w:tcPr>
          <w:p>
            <w:pPr>
              <w:pStyle w:val="TableParagraph"/>
              <w:ind w:right="96"/>
              <w:jc w:val="right"/>
              <w:rPr>
                <w:i/>
                <w:sz w:val="16"/>
              </w:rPr>
            </w:pPr>
            <w:r>
              <w:rPr>
                <w:i/>
                <w:spacing w:val="-10"/>
                <w:sz w:val="16"/>
              </w:rPr>
              <w:t>2</w:t>
            </w:r>
          </w:p>
        </w:tc>
        <w:tc>
          <w:tcPr>
            <w:tcW w:w="690" w:type="dxa"/>
          </w:tcPr>
          <w:p>
            <w:pPr>
              <w:pStyle w:val="TableParagraph"/>
              <w:ind w:right="99"/>
              <w:jc w:val="right"/>
              <w:rPr>
                <w:i/>
                <w:sz w:val="16"/>
              </w:rPr>
            </w:pPr>
            <w:r>
              <w:rPr>
                <w:i/>
                <w:spacing w:val="-10"/>
                <w:sz w:val="16"/>
              </w:rPr>
              <w:t>1</w:t>
            </w:r>
          </w:p>
        </w:tc>
        <w:tc>
          <w:tcPr>
            <w:tcW w:w="526" w:type="dxa"/>
          </w:tcPr>
          <w:p>
            <w:pPr>
              <w:pStyle w:val="TableParagraph"/>
              <w:ind w:right="97"/>
              <w:jc w:val="right"/>
              <w:rPr>
                <w:i/>
                <w:sz w:val="16"/>
              </w:rPr>
            </w:pPr>
            <w:r>
              <w:rPr>
                <w:i/>
                <w:spacing w:val="-10"/>
                <w:sz w:val="16"/>
              </w:rPr>
              <w:t>1</w:t>
            </w:r>
          </w:p>
        </w:tc>
        <w:tc>
          <w:tcPr>
            <w:tcW w:w="507" w:type="dxa"/>
          </w:tcPr>
          <w:p>
            <w:pPr>
              <w:pStyle w:val="TableParagraph"/>
              <w:ind w:right="89"/>
              <w:jc w:val="right"/>
              <w:rPr>
                <w:i/>
                <w:sz w:val="16"/>
              </w:rPr>
            </w:pPr>
            <w:r>
              <w:rPr>
                <w:i/>
                <w:spacing w:val="-5"/>
                <w:sz w:val="16"/>
              </w:rPr>
              <w:t>43</w:t>
            </w:r>
          </w:p>
        </w:tc>
        <w:tc>
          <w:tcPr>
            <w:tcW w:w="569" w:type="dxa"/>
          </w:tcPr>
          <w:p>
            <w:pPr>
              <w:pStyle w:val="TableParagraph"/>
              <w:ind w:right="87"/>
              <w:jc w:val="right"/>
              <w:rPr>
                <w:i/>
                <w:sz w:val="16"/>
              </w:rPr>
            </w:pPr>
            <w:r>
              <w:rPr>
                <w:i/>
                <w:spacing w:val="-5"/>
                <w:sz w:val="16"/>
              </w:rPr>
              <w:t>13</w:t>
            </w:r>
          </w:p>
        </w:tc>
        <w:tc>
          <w:tcPr>
            <w:tcW w:w="589" w:type="dxa"/>
          </w:tcPr>
          <w:p>
            <w:pPr>
              <w:pStyle w:val="TableParagraph"/>
              <w:ind w:right="96"/>
              <w:jc w:val="right"/>
              <w:rPr>
                <w:i/>
                <w:sz w:val="16"/>
              </w:rPr>
            </w:pPr>
            <w:r>
              <w:rPr>
                <w:i/>
                <w:spacing w:val="-10"/>
                <w:sz w:val="16"/>
              </w:rPr>
              <w:t>6</w:t>
            </w:r>
          </w:p>
        </w:tc>
        <w:tc>
          <w:tcPr>
            <w:tcW w:w="574" w:type="dxa"/>
          </w:tcPr>
          <w:p>
            <w:pPr>
              <w:pStyle w:val="TableParagraph"/>
              <w:ind w:right="94"/>
              <w:jc w:val="right"/>
              <w:rPr>
                <w:i/>
                <w:sz w:val="16"/>
              </w:rPr>
            </w:pPr>
            <w:r>
              <w:rPr>
                <w:i/>
                <w:spacing w:val="-10"/>
                <w:sz w:val="16"/>
              </w:rPr>
              <w:t>5</w:t>
            </w:r>
          </w:p>
        </w:tc>
        <w:tc>
          <w:tcPr>
            <w:tcW w:w="507" w:type="dxa"/>
          </w:tcPr>
          <w:p>
            <w:pPr>
              <w:pStyle w:val="TableParagraph"/>
              <w:ind w:right="97"/>
              <w:jc w:val="right"/>
              <w:rPr>
                <w:i/>
                <w:sz w:val="16"/>
              </w:rPr>
            </w:pPr>
            <w:r>
              <w:rPr>
                <w:i/>
                <w:spacing w:val="-10"/>
                <w:sz w:val="16"/>
              </w:rPr>
              <w:t>0</w:t>
            </w:r>
          </w:p>
        </w:tc>
      </w:tr>
      <w:tr>
        <w:trPr>
          <w:trHeight w:val="321" w:hRule="atLeast"/>
        </w:trPr>
        <w:tc>
          <w:tcPr>
            <w:tcW w:w="456" w:type="dxa"/>
          </w:tcPr>
          <w:p>
            <w:pPr>
              <w:pStyle w:val="TableParagraph"/>
              <w:spacing w:before="4"/>
              <w:ind w:right="104"/>
              <w:jc w:val="right"/>
              <w:rPr>
                <w:sz w:val="16"/>
              </w:rPr>
            </w:pPr>
            <w:r>
              <w:rPr>
                <w:spacing w:val="-10"/>
                <w:sz w:val="16"/>
              </w:rPr>
              <w:t>2</w:t>
            </w:r>
          </w:p>
        </w:tc>
        <w:tc>
          <w:tcPr>
            <w:tcW w:w="1060" w:type="dxa"/>
          </w:tcPr>
          <w:p>
            <w:pPr>
              <w:pStyle w:val="TableParagraph"/>
              <w:spacing w:before="4"/>
              <w:ind w:left="120"/>
              <w:rPr>
                <w:sz w:val="16"/>
              </w:rPr>
            </w:pPr>
            <w:r>
              <w:rPr>
                <w:sz w:val="16"/>
              </w:rPr>
              <w:t>Loa</w:t>
            </w:r>
            <w:r>
              <w:rPr>
                <w:spacing w:val="-3"/>
                <w:sz w:val="16"/>
              </w:rPr>
              <w:t> </w:t>
            </w:r>
            <w:r>
              <w:rPr>
                <w:spacing w:val="-2"/>
                <w:sz w:val="16"/>
              </w:rPr>
              <w:t>Janan</w:t>
            </w:r>
          </w:p>
        </w:tc>
        <w:tc>
          <w:tcPr>
            <w:tcW w:w="614" w:type="dxa"/>
            <w:shd w:val="clear" w:color="auto" w:fill="B4C5E7"/>
          </w:tcPr>
          <w:p>
            <w:pPr>
              <w:pStyle w:val="TableParagraph"/>
              <w:spacing w:before="4"/>
              <w:ind w:right="91"/>
              <w:jc w:val="right"/>
              <w:rPr>
                <w:sz w:val="16"/>
              </w:rPr>
            </w:pPr>
            <w:r>
              <w:rPr>
                <w:spacing w:val="-5"/>
                <w:sz w:val="16"/>
              </w:rPr>
              <w:t>101</w:t>
            </w:r>
          </w:p>
        </w:tc>
        <w:tc>
          <w:tcPr>
            <w:tcW w:w="508" w:type="dxa"/>
          </w:tcPr>
          <w:p>
            <w:pPr>
              <w:pStyle w:val="TableParagraph"/>
              <w:spacing w:before="4"/>
              <w:ind w:right="95"/>
              <w:jc w:val="right"/>
              <w:rPr>
                <w:i/>
                <w:sz w:val="16"/>
              </w:rPr>
            </w:pPr>
            <w:r>
              <w:rPr>
                <w:i/>
                <w:spacing w:val="-5"/>
                <w:sz w:val="16"/>
              </w:rPr>
              <w:t>44</w:t>
            </w:r>
          </w:p>
        </w:tc>
        <w:tc>
          <w:tcPr>
            <w:tcW w:w="436" w:type="dxa"/>
          </w:tcPr>
          <w:p>
            <w:pPr>
              <w:pStyle w:val="TableParagraph"/>
              <w:spacing w:before="4"/>
              <w:ind w:left="130"/>
              <w:jc w:val="center"/>
              <w:rPr>
                <w:i/>
                <w:sz w:val="16"/>
              </w:rPr>
            </w:pPr>
            <w:r>
              <w:rPr>
                <w:i/>
                <w:spacing w:val="-10"/>
                <w:sz w:val="16"/>
              </w:rPr>
              <w:t>4</w:t>
            </w:r>
          </w:p>
        </w:tc>
        <w:tc>
          <w:tcPr>
            <w:tcW w:w="536" w:type="dxa"/>
          </w:tcPr>
          <w:p>
            <w:pPr>
              <w:pStyle w:val="TableParagraph"/>
              <w:spacing w:before="4"/>
              <w:ind w:right="103"/>
              <w:jc w:val="right"/>
              <w:rPr>
                <w:i/>
                <w:sz w:val="16"/>
              </w:rPr>
            </w:pPr>
            <w:r>
              <w:rPr>
                <w:i/>
                <w:spacing w:val="-10"/>
                <w:sz w:val="16"/>
              </w:rPr>
              <w:t>0</w:t>
            </w:r>
          </w:p>
        </w:tc>
        <w:tc>
          <w:tcPr>
            <w:tcW w:w="507" w:type="dxa"/>
          </w:tcPr>
          <w:p>
            <w:pPr>
              <w:pStyle w:val="TableParagraph"/>
              <w:spacing w:before="4"/>
              <w:ind w:right="96"/>
              <w:jc w:val="right"/>
              <w:rPr>
                <w:i/>
                <w:sz w:val="16"/>
              </w:rPr>
            </w:pPr>
            <w:r>
              <w:rPr>
                <w:i/>
                <w:spacing w:val="-10"/>
                <w:sz w:val="16"/>
              </w:rPr>
              <w:t>0</w:t>
            </w:r>
          </w:p>
        </w:tc>
        <w:tc>
          <w:tcPr>
            <w:tcW w:w="690" w:type="dxa"/>
          </w:tcPr>
          <w:p>
            <w:pPr>
              <w:pStyle w:val="TableParagraph"/>
              <w:spacing w:before="4"/>
              <w:ind w:right="99"/>
              <w:jc w:val="right"/>
              <w:rPr>
                <w:i/>
                <w:sz w:val="16"/>
              </w:rPr>
            </w:pPr>
            <w:r>
              <w:rPr>
                <w:i/>
                <w:spacing w:val="-10"/>
                <w:sz w:val="16"/>
              </w:rPr>
              <w:t>2</w:t>
            </w:r>
          </w:p>
        </w:tc>
        <w:tc>
          <w:tcPr>
            <w:tcW w:w="526" w:type="dxa"/>
          </w:tcPr>
          <w:p>
            <w:pPr>
              <w:pStyle w:val="TableParagraph"/>
              <w:spacing w:before="4"/>
              <w:ind w:right="97"/>
              <w:jc w:val="right"/>
              <w:rPr>
                <w:i/>
                <w:sz w:val="16"/>
              </w:rPr>
            </w:pPr>
            <w:r>
              <w:rPr>
                <w:i/>
                <w:spacing w:val="-10"/>
                <w:sz w:val="16"/>
              </w:rPr>
              <w:t>1</w:t>
            </w:r>
          </w:p>
        </w:tc>
        <w:tc>
          <w:tcPr>
            <w:tcW w:w="507" w:type="dxa"/>
          </w:tcPr>
          <w:p>
            <w:pPr>
              <w:pStyle w:val="TableParagraph"/>
              <w:spacing w:before="4"/>
              <w:ind w:right="89"/>
              <w:jc w:val="right"/>
              <w:rPr>
                <w:i/>
                <w:sz w:val="16"/>
              </w:rPr>
            </w:pPr>
            <w:r>
              <w:rPr>
                <w:i/>
                <w:spacing w:val="-5"/>
                <w:sz w:val="16"/>
              </w:rPr>
              <w:t>31</w:t>
            </w:r>
          </w:p>
        </w:tc>
        <w:tc>
          <w:tcPr>
            <w:tcW w:w="569" w:type="dxa"/>
          </w:tcPr>
          <w:p>
            <w:pPr>
              <w:pStyle w:val="TableParagraph"/>
              <w:spacing w:before="4"/>
              <w:ind w:right="87"/>
              <w:jc w:val="right"/>
              <w:rPr>
                <w:i/>
                <w:sz w:val="16"/>
              </w:rPr>
            </w:pPr>
            <w:r>
              <w:rPr>
                <w:i/>
                <w:spacing w:val="-5"/>
                <w:sz w:val="16"/>
              </w:rPr>
              <w:t>10</w:t>
            </w:r>
          </w:p>
        </w:tc>
        <w:tc>
          <w:tcPr>
            <w:tcW w:w="589" w:type="dxa"/>
          </w:tcPr>
          <w:p>
            <w:pPr>
              <w:pStyle w:val="TableParagraph"/>
              <w:spacing w:before="4"/>
              <w:ind w:right="96"/>
              <w:jc w:val="right"/>
              <w:rPr>
                <w:i/>
                <w:sz w:val="16"/>
              </w:rPr>
            </w:pPr>
            <w:r>
              <w:rPr>
                <w:i/>
                <w:spacing w:val="-10"/>
                <w:sz w:val="16"/>
              </w:rPr>
              <w:t>2</w:t>
            </w:r>
          </w:p>
        </w:tc>
        <w:tc>
          <w:tcPr>
            <w:tcW w:w="574" w:type="dxa"/>
          </w:tcPr>
          <w:p>
            <w:pPr>
              <w:pStyle w:val="TableParagraph"/>
              <w:spacing w:before="4"/>
              <w:ind w:right="94"/>
              <w:jc w:val="right"/>
              <w:rPr>
                <w:i/>
                <w:sz w:val="16"/>
              </w:rPr>
            </w:pPr>
            <w:r>
              <w:rPr>
                <w:i/>
                <w:spacing w:val="-10"/>
                <w:sz w:val="16"/>
              </w:rPr>
              <w:t>5</w:t>
            </w:r>
          </w:p>
        </w:tc>
        <w:tc>
          <w:tcPr>
            <w:tcW w:w="507" w:type="dxa"/>
          </w:tcPr>
          <w:p>
            <w:pPr>
              <w:pStyle w:val="TableParagraph"/>
              <w:spacing w:before="4"/>
              <w:ind w:right="97"/>
              <w:jc w:val="right"/>
              <w:rPr>
                <w:i/>
                <w:sz w:val="16"/>
              </w:rPr>
            </w:pPr>
            <w:r>
              <w:rPr>
                <w:i/>
                <w:spacing w:val="-10"/>
                <w:sz w:val="16"/>
              </w:rPr>
              <w:t>2</w:t>
            </w:r>
          </w:p>
        </w:tc>
      </w:tr>
      <w:tr>
        <w:trPr>
          <w:trHeight w:val="316" w:hRule="atLeast"/>
        </w:trPr>
        <w:tc>
          <w:tcPr>
            <w:tcW w:w="456" w:type="dxa"/>
          </w:tcPr>
          <w:p>
            <w:pPr>
              <w:pStyle w:val="TableParagraph"/>
              <w:ind w:right="104"/>
              <w:jc w:val="right"/>
              <w:rPr>
                <w:sz w:val="16"/>
              </w:rPr>
            </w:pPr>
            <w:r>
              <w:rPr>
                <w:spacing w:val="-10"/>
                <w:sz w:val="16"/>
              </w:rPr>
              <w:t>3</w:t>
            </w:r>
          </w:p>
        </w:tc>
        <w:tc>
          <w:tcPr>
            <w:tcW w:w="1060" w:type="dxa"/>
          </w:tcPr>
          <w:p>
            <w:pPr>
              <w:pStyle w:val="TableParagraph"/>
              <w:ind w:left="120"/>
              <w:rPr>
                <w:sz w:val="16"/>
              </w:rPr>
            </w:pPr>
            <w:r>
              <w:rPr>
                <w:sz w:val="16"/>
              </w:rPr>
              <w:t>Loa</w:t>
            </w:r>
            <w:r>
              <w:rPr>
                <w:spacing w:val="-8"/>
                <w:sz w:val="16"/>
              </w:rPr>
              <w:t> </w:t>
            </w:r>
            <w:r>
              <w:rPr>
                <w:spacing w:val="-4"/>
                <w:sz w:val="16"/>
              </w:rPr>
              <w:t>Kulu</w:t>
            </w:r>
          </w:p>
        </w:tc>
        <w:tc>
          <w:tcPr>
            <w:tcW w:w="614" w:type="dxa"/>
            <w:shd w:val="clear" w:color="auto" w:fill="B4C5E7"/>
          </w:tcPr>
          <w:p>
            <w:pPr>
              <w:pStyle w:val="TableParagraph"/>
              <w:ind w:right="91"/>
              <w:jc w:val="right"/>
              <w:rPr>
                <w:sz w:val="16"/>
              </w:rPr>
            </w:pPr>
            <w:r>
              <w:rPr>
                <w:spacing w:val="-5"/>
                <w:sz w:val="16"/>
              </w:rPr>
              <w:t>97</w:t>
            </w:r>
          </w:p>
        </w:tc>
        <w:tc>
          <w:tcPr>
            <w:tcW w:w="508" w:type="dxa"/>
          </w:tcPr>
          <w:p>
            <w:pPr>
              <w:pStyle w:val="TableParagraph"/>
              <w:ind w:right="95"/>
              <w:jc w:val="right"/>
              <w:rPr>
                <w:i/>
                <w:sz w:val="16"/>
              </w:rPr>
            </w:pPr>
            <w:r>
              <w:rPr>
                <w:i/>
                <w:spacing w:val="-5"/>
                <w:sz w:val="16"/>
              </w:rPr>
              <w:t>29</w:t>
            </w:r>
          </w:p>
        </w:tc>
        <w:tc>
          <w:tcPr>
            <w:tcW w:w="436" w:type="dxa"/>
          </w:tcPr>
          <w:p>
            <w:pPr>
              <w:pStyle w:val="TableParagraph"/>
              <w:ind w:left="59"/>
              <w:jc w:val="center"/>
              <w:rPr>
                <w:i/>
                <w:sz w:val="16"/>
              </w:rPr>
            </w:pPr>
            <w:r>
              <w:rPr>
                <w:i/>
                <w:spacing w:val="-5"/>
                <w:sz w:val="16"/>
              </w:rPr>
              <w:t>13</w:t>
            </w:r>
          </w:p>
        </w:tc>
        <w:tc>
          <w:tcPr>
            <w:tcW w:w="536" w:type="dxa"/>
          </w:tcPr>
          <w:p>
            <w:pPr>
              <w:pStyle w:val="TableParagraph"/>
              <w:ind w:right="103"/>
              <w:jc w:val="right"/>
              <w:rPr>
                <w:i/>
                <w:sz w:val="16"/>
              </w:rPr>
            </w:pPr>
            <w:r>
              <w:rPr>
                <w:i/>
                <w:spacing w:val="-10"/>
                <w:sz w:val="16"/>
              </w:rPr>
              <w:t>1</w:t>
            </w:r>
          </w:p>
        </w:tc>
        <w:tc>
          <w:tcPr>
            <w:tcW w:w="507" w:type="dxa"/>
          </w:tcPr>
          <w:p>
            <w:pPr>
              <w:pStyle w:val="TableParagraph"/>
              <w:ind w:right="96"/>
              <w:jc w:val="right"/>
              <w:rPr>
                <w:i/>
                <w:sz w:val="16"/>
              </w:rPr>
            </w:pPr>
            <w:r>
              <w:rPr>
                <w:i/>
                <w:spacing w:val="-10"/>
                <w:sz w:val="16"/>
              </w:rPr>
              <w:t>0</w:t>
            </w:r>
          </w:p>
        </w:tc>
        <w:tc>
          <w:tcPr>
            <w:tcW w:w="690" w:type="dxa"/>
          </w:tcPr>
          <w:p>
            <w:pPr>
              <w:pStyle w:val="TableParagraph"/>
              <w:ind w:right="99"/>
              <w:jc w:val="right"/>
              <w:rPr>
                <w:i/>
                <w:sz w:val="16"/>
              </w:rPr>
            </w:pPr>
            <w:r>
              <w:rPr>
                <w:i/>
                <w:spacing w:val="-10"/>
                <w:sz w:val="16"/>
              </w:rPr>
              <w:t>1</w:t>
            </w:r>
          </w:p>
        </w:tc>
        <w:tc>
          <w:tcPr>
            <w:tcW w:w="526" w:type="dxa"/>
          </w:tcPr>
          <w:p>
            <w:pPr>
              <w:pStyle w:val="TableParagraph"/>
              <w:ind w:right="97"/>
              <w:jc w:val="right"/>
              <w:rPr>
                <w:i/>
                <w:sz w:val="16"/>
              </w:rPr>
            </w:pPr>
            <w:r>
              <w:rPr>
                <w:i/>
                <w:spacing w:val="-10"/>
                <w:sz w:val="16"/>
              </w:rPr>
              <w:t>0</w:t>
            </w:r>
          </w:p>
        </w:tc>
        <w:tc>
          <w:tcPr>
            <w:tcW w:w="507" w:type="dxa"/>
          </w:tcPr>
          <w:p>
            <w:pPr>
              <w:pStyle w:val="TableParagraph"/>
              <w:ind w:right="89"/>
              <w:jc w:val="right"/>
              <w:rPr>
                <w:i/>
                <w:sz w:val="16"/>
              </w:rPr>
            </w:pPr>
            <w:r>
              <w:rPr>
                <w:i/>
                <w:spacing w:val="-5"/>
                <w:sz w:val="16"/>
              </w:rPr>
              <w:t>34</w:t>
            </w:r>
          </w:p>
        </w:tc>
        <w:tc>
          <w:tcPr>
            <w:tcW w:w="569" w:type="dxa"/>
          </w:tcPr>
          <w:p>
            <w:pPr>
              <w:pStyle w:val="TableParagraph"/>
              <w:ind w:right="87"/>
              <w:jc w:val="right"/>
              <w:rPr>
                <w:i/>
                <w:sz w:val="16"/>
              </w:rPr>
            </w:pPr>
            <w:r>
              <w:rPr>
                <w:i/>
                <w:spacing w:val="-5"/>
                <w:sz w:val="16"/>
              </w:rPr>
              <w:t>13</w:t>
            </w:r>
          </w:p>
        </w:tc>
        <w:tc>
          <w:tcPr>
            <w:tcW w:w="589" w:type="dxa"/>
          </w:tcPr>
          <w:p>
            <w:pPr>
              <w:pStyle w:val="TableParagraph"/>
              <w:ind w:right="96"/>
              <w:jc w:val="right"/>
              <w:rPr>
                <w:i/>
                <w:sz w:val="16"/>
              </w:rPr>
            </w:pPr>
            <w:r>
              <w:rPr>
                <w:i/>
                <w:spacing w:val="-10"/>
                <w:sz w:val="16"/>
              </w:rPr>
              <w:t>3</w:t>
            </w:r>
          </w:p>
        </w:tc>
        <w:tc>
          <w:tcPr>
            <w:tcW w:w="574" w:type="dxa"/>
          </w:tcPr>
          <w:p>
            <w:pPr>
              <w:pStyle w:val="TableParagraph"/>
              <w:ind w:right="94"/>
              <w:jc w:val="right"/>
              <w:rPr>
                <w:i/>
                <w:sz w:val="16"/>
              </w:rPr>
            </w:pPr>
            <w:r>
              <w:rPr>
                <w:i/>
                <w:spacing w:val="-10"/>
                <w:sz w:val="16"/>
              </w:rPr>
              <w:t>3</w:t>
            </w:r>
          </w:p>
        </w:tc>
        <w:tc>
          <w:tcPr>
            <w:tcW w:w="507" w:type="dxa"/>
          </w:tcPr>
          <w:p>
            <w:pPr>
              <w:pStyle w:val="TableParagraph"/>
              <w:ind w:right="97"/>
              <w:jc w:val="right"/>
              <w:rPr>
                <w:i/>
                <w:sz w:val="16"/>
              </w:rPr>
            </w:pPr>
            <w:r>
              <w:rPr>
                <w:i/>
                <w:spacing w:val="-10"/>
                <w:sz w:val="16"/>
              </w:rPr>
              <w:t>0</w:t>
            </w:r>
          </w:p>
        </w:tc>
      </w:tr>
      <w:tr>
        <w:trPr>
          <w:trHeight w:val="638" w:hRule="atLeast"/>
        </w:trPr>
        <w:tc>
          <w:tcPr>
            <w:tcW w:w="456" w:type="dxa"/>
          </w:tcPr>
          <w:p>
            <w:pPr>
              <w:pStyle w:val="TableParagraph"/>
              <w:spacing w:before="75"/>
              <w:rPr>
                <w:rFonts w:ascii="Lucida Sans Unicode"/>
                <w:sz w:val="16"/>
              </w:rPr>
            </w:pPr>
          </w:p>
          <w:p>
            <w:pPr>
              <w:pStyle w:val="TableParagraph"/>
              <w:ind w:right="104"/>
              <w:jc w:val="right"/>
              <w:rPr>
                <w:sz w:val="16"/>
              </w:rPr>
            </w:pPr>
            <w:r>
              <w:rPr>
                <w:spacing w:val="-10"/>
                <w:sz w:val="16"/>
              </w:rPr>
              <w:t>4</w:t>
            </w:r>
          </w:p>
        </w:tc>
        <w:tc>
          <w:tcPr>
            <w:tcW w:w="1060" w:type="dxa"/>
          </w:tcPr>
          <w:p>
            <w:pPr>
              <w:pStyle w:val="TableParagraph"/>
              <w:ind w:left="120"/>
              <w:rPr>
                <w:sz w:val="16"/>
              </w:rPr>
            </w:pPr>
            <w:r>
              <w:rPr>
                <w:spacing w:val="-2"/>
                <w:sz w:val="16"/>
              </w:rPr>
              <w:t>Muara</w:t>
            </w:r>
          </w:p>
          <w:p>
            <w:pPr>
              <w:pStyle w:val="TableParagraph"/>
              <w:spacing w:before="108"/>
              <w:ind w:left="120"/>
              <w:rPr>
                <w:sz w:val="16"/>
              </w:rPr>
            </w:pPr>
            <w:r>
              <w:rPr>
                <w:spacing w:val="-4"/>
                <w:sz w:val="16"/>
              </w:rPr>
              <w:t>Jawa</w:t>
            </w:r>
          </w:p>
        </w:tc>
        <w:tc>
          <w:tcPr>
            <w:tcW w:w="614" w:type="dxa"/>
            <w:shd w:val="clear" w:color="auto" w:fill="B4C5E7"/>
          </w:tcPr>
          <w:p>
            <w:pPr>
              <w:pStyle w:val="TableParagraph"/>
              <w:spacing w:before="75"/>
              <w:rPr>
                <w:rFonts w:ascii="Lucida Sans Unicode"/>
                <w:sz w:val="16"/>
              </w:rPr>
            </w:pPr>
          </w:p>
          <w:p>
            <w:pPr>
              <w:pStyle w:val="TableParagraph"/>
              <w:ind w:right="91"/>
              <w:jc w:val="right"/>
              <w:rPr>
                <w:sz w:val="16"/>
              </w:rPr>
            </w:pPr>
            <w:r>
              <w:rPr>
                <w:spacing w:val="-5"/>
                <w:sz w:val="16"/>
              </w:rPr>
              <w:t>67</w:t>
            </w:r>
          </w:p>
        </w:tc>
        <w:tc>
          <w:tcPr>
            <w:tcW w:w="508" w:type="dxa"/>
          </w:tcPr>
          <w:p>
            <w:pPr>
              <w:pStyle w:val="TableParagraph"/>
              <w:spacing w:before="75"/>
              <w:rPr>
                <w:rFonts w:ascii="Lucida Sans Unicode"/>
                <w:sz w:val="16"/>
              </w:rPr>
            </w:pPr>
          </w:p>
          <w:p>
            <w:pPr>
              <w:pStyle w:val="TableParagraph"/>
              <w:ind w:right="95"/>
              <w:jc w:val="right"/>
              <w:rPr>
                <w:i/>
                <w:sz w:val="16"/>
              </w:rPr>
            </w:pPr>
            <w:r>
              <w:rPr>
                <w:i/>
                <w:spacing w:val="-5"/>
                <w:sz w:val="16"/>
              </w:rPr>
              <w:t>17</w:t>
            </w:r>
          </w:p>
        </w:tc>
        <w:tc>
          <w:tcPr>
            <w:tcW w:w="436" w:type="dxa"/>
          </w:tcPr>
          <w:p>
            <w:pPr>
              <w:pStyle w:val="TableParagraph"/>
              <w:spacing w:before="75"/>
              <w:rPr>
                <w:rFonts w:ascii="Lucida Sans Unicode"/>
                <w:sz w:val="16"/>
              </w:rPr>
            </w:pPr>
          </w:p>
          <w:p>
            <w:pPr>
              <w:pStyle w:val="TableParagraph"/>
              <w:ind w:left="59"/>
              <w:jc w:val="center"/>
              <w:rPr>
                <w:i/>
                <w:sz w:val="16"/>
              </w:rPr>
            </w:pPr>
            <w:r>
              <w:rPr>
                <w:i/>
                <w:spacing w:val="-5"/>
                <w:sz w:val="16"/>
              </w:rPr>
              <w:t>16</w:t>
            </w:r>
          </w:p>
        </w:tc>
        <w:tc>
          <w:tcPr>
            <w:tcW w:w="536" w:type="dxa"/>
          </w:tcPr>
          <w:p>
            <w:pPr>
              <w:pStyle w:val="TableParagraph"/>
              <w:spacing w:before="75"/>
              <w:rPr>
                <w:rFonts w:ascii="Lucida Sans Unicode"/>
                <w:sz w:val="16"/>
              </w:rPr>
            </w:pPr>
          </w:p>
          <w:p>
            <w:pPr>
              <w:pStyle w:val="TableParagraph"/>
              <w:ind w:right="103"/>
              <w:jc w:val="right"/>
              <w:rPr>
                <w:i/>
                <w:sz w:val="16"/>
              </w:rPr>
            </w:pPr>
            <w:r>
              <w:rPr>
                <w:i/>
                <w:spacing w:val="-10"/>
                <w:sz w:val="16"/>
              </w:rPr>
              <w:t>0</w:t>
            </w:r>
          </w:p>
        </w:tc>
        <w:tc>
          <w:tcPr>
            <w:tcW w:w="507" w:type="dxa"/>
          </w:tcPr>
          <w:p>
            <w:pPr>
              <w:pStyle w:val="TableParagraph"/>
              <w:spacing w:before="75"/>
              <w:rPr>
                <w:rFonts w:ascii="Lucida Sans Unicode"/>
                <w:sz w:val="16"/>
              </w:rPr>
            </w:pPr>
          </w:p>
          <w:p>
            <w:pPr>
              <w:pStyle w:val="TableParagraph"/>
              <w:ind w:right="96"/>
              <w:jc w:val="right"/>
              <w:rPr>
                <w:i/>
                <w:sz w:val="16"/>
              </w:rPr>
            </w:pPr>
            <w:r>
              <w:rPr>
                <w:i/>
                <w:spacing w:val="-10"/>
                <w:sz w:val="16"/>
              </w:rPr>
              <w:t>0</w:t>
            </w:r>
          </w:p>
        </w:tc>
        <w:tc>
          <w:tcPr>
            <w:tcW w:w="690" w:type="dxa"/>
          </w:tcPr>
          <w:p>
            <w:pPr>
              <w:pStyle w:val="TableParagraph"/>
              <w:spacing w:before="75"/>
              <w:rPr>
                <w:rFonts w:ascii="Lucida Sans Unicode"/>
                <w:sz w:val="16"/>
              </w:rPr>
            </w:pPr>
          </w:p>
          <w:p>
            <w:pPr>
              <w:pStyle w:val="TableParagraph"/>
              <w:ind w:right="99"/>
              <w:jc w:val="right"/>
              <w:rPr>
                <w:i/>
                <w:sz w:val="16"/>
              </w:rPr>
            </w:pPr>
            <w:r>
              <w:rPr>
                <w:i/>
                <w:spacing w:val="-10"/>
                <w:sz w:val="16"/>
              </w:rPr>
              <w:t>1</w:t>
            </w:r>
          </w:p>
        </w:tc>
        <w:tc>
          <w:tcPr>
            <w:tcW w:w="526" w:type="dxa"/>
          </w:tcPr>
          <w:p>
            <w:pPr>
              <w:pStyle w:val="TableParagraph"/>
              <w:spacing w:before="75"/>
              <w:rPr>
                <w:rFonts w:ascii="Lucida Sans Unicode"/>
                <w:sz w:val="16"/>
              </w:rPr>
            </w:pPr>
          </w:p>
          <w:p>
            <w:pPr>
              <w:pStyle w:val="TableParagraph"/>
              <w:ind w:right="97"/>
              <w:jc w:val="right"/>
              <w:rPr>
                <w:i/>
                <w:sz w:val="16"/>
              </w:rPr>
            </w:pPr>
            <w:r>
              <w:rPr>
                <w:i/>
                <w:spacing w:val="-10"/>
                <w:sz w:val="16"/>
              </w:rPr>
              <w:t>1</w:t>
            </w:r>
          </w:p>
        </w:tc>
        <w:tc>
          <w:tcPr>
            <w:tcW w:w="507" w:type="dxa"/>
          </w:tcPr>
          <w:p>
            <w:pPr>
              <w:pStyle w:val="TableParagraph"/>
              <w:spacing w:before="75"/>
              <w:rPr>
                <w:rFonts w:ascii="Lucida Sans Unicode"/>
                <w:sz w:val="16"/>
              </w:rPr>
            </w:pPr>
          </w:p>
          <w:p>
            <w:pPr>
              <w:pStyle w:val="TableParagraph"/>
              <w:ind w:right="89"/>
              <w:jc w:val="right"/>
              <w:rPr>
                <w:i/>
                <w:sz w:val="16"/>
              </w:rPr>
            </w:pPr>
            <w:r>
              <w:rPr>
                <w:i/>
                <w:spacing w:val="-5"/>
                <w:sz w:val="16"/>
              </w:rPr>
              <w:t>22</w:t>
            </w:r>
          </w:p>
        </w:tc>
        <w:tc>
          <w:tcPr>
            <w:tcW w:w="569" w:type="dxa"/>
          </w:tcPr>
          <w:p>
            <w:pPr>
              <w:pStyle w:val="TableParagraph"/>
              <w:spacing w:before="75"/>
              <w:rPr>
                <w:rFonts w:ascii="Lucida Sans Unicode"/>
                <w:sz w:val="16"/>
              </w:rPr>
            </w:pPr>
          </w:p>
          <w:p>
            <w:pPr>
              <w:pStyle w:val="TableParagraph"/>
              <w:ind w:right="93"/>
              <w:jc w:val="right"/>
              <w:rPr>
                <w:i/>
                <w:sz w:val="16"/>
              </w:rPr>
            </w:pPr>
            <w:r>
              <w:rPr>
                <w:i/>
                <w:spacing w:val="-10"/>
                <w:sz w:val="16"/>
              </w:rPr>
              <w:t>5</w:t>
            </w:r>
          </w:p>
        </w:tc>
        <w:tc>
          <w:tcPr>
            <w:tcW w:w="589" w:type="dxa"/>
          </w:tcPr>
          <w:p>
            <w:pPr>
              <w:pStyle w:val="TableParagraph"/>
              <w:spacing w:before="75"/>
              <w:rPr>
                <w:rFonts w:ascii="Lucida Sans Unicode"/>
                <w:sz w:val="16"/>
              </w:rPr>
            </w:pPr>
          </w:p>
          <w:p>
            <w:pPr>
              <w:pStyle w:val="TableParagraph"/>
              <w:ind w:right="96"/>
              <w:jc w:val="right"/>
              <w:rPr>
                <w:i/>
                <w:sz w:val="16"/>
              </w:rPr>
            </w:pPr>
            <w:r>
              <w:rPr>
                <w:i/>
                <w:spacing w:val="-10"/>
                <w:sz w:val="16"/>
              </w:rPr>
              <w:t>1</w:t>
            </w:r>
          </w:p>
        </w:tc>
        <w:tc>
          <w:tcPr>
            <w:tcW w:w="574" w:type="dxa"/>
          </w:tcPr>
          <w:p>
            <w:pPr>
              <w:pStyle w:val="TableParagraph"/>
              <w:spacing w:before="75"/>
              <w:rPr>
                <w:rFonts w:ascii="Lucida Sans Unicode"/>
                <w:sz w:val="16"/>
              </w:rPr>
            </w:pPr>
          </w:p>
          <w:p>
            <w:pPr>
              <w:pStyle w:val="TableParagraph"/>
              <w:ind w:right="94"/>
              <w:jc w:val="right"/>
              <w:rPr>
                <w:i/>
                <w:sz w:val="16"/>
              </w:rPr>
            </w:pPr>
            <w:r>
              <w:rPr>
                <w:i/>
                <w:spacing w:val="-10"/>
                <w:sz w:val="16"/>
              </w:rPr>
              <w:t>3</w:t>
            </w:r>
          </w:p>
        </w:tc>
        <w:tc>
          <w:tcPr>
            <w:tcW w:w="507" w:type="dxa"/>
          </w:tcPr>
          <w:p>
            <w:pPr>
              <w:pStyle w:val="TableParagraph"/>
              <w:spacing w:before="75"/>
              <w:rPr>
                <w:rFonts w:ascii="Lucida Sans Unicode"/>
                <w:sz w:val="16"/>
              </w:rPr>
            </w:pPr>
          </w:p>
          <w:p>
            <w:pPr>
              <w:pStyle w:val="TableParagraph"/>
              <w:ind w:right="97"/>
              <w:jc w:val="right"/>
              <w:rPr>
                <w:i/>
                <w:sz w:val="16"/>
              </w:rPr>
            </w:pPr>
            <w:r>
              <w:rPr>
                <w:i/>
                <w:spacing w:val="-10"/>
                <w:sz w:val="16"/>
              </w:rPr>
              <w:t>1</w:t>
            </w:r>
          </w:p>
        </w:tc>
      </w:tr>
      <w:tr>
        <w:trPr>
          <w:trHeight w:val="638" w:hRule="atLeast"/>
        </w:trPr>
        <w:tc>
          <w:tcPr>
            <w:tcW w:w="456" w:type="dxa"/>
          </w:tcPr>
          <w:p>
            <w:pPr>
              <w:pStyle w:val="TableParagraph"/>
              <w:spacing w:before="76"/>
              <w:rPr>
                <w:rFonts w:ascii="Lucida Sans Unicode"/>
                <w:sz w:val="16"/>
              </w:rPr>
            </w:pPr>
          </w:p>
          <w:p>
            <w:pPr>
              <w:pStyle w:val="TableParagraph"/>
              <w:ind w:right="104"/>
              <w:jc w:val="right"/>
              <w:rPr>
                <w:sz w:val="16"/>
              </w:rPr>
            </w:pPr>
            <w:r>
              <w:rPr>
                <w:spacing w:val="-10"/>
                <w:sz w:val="16"/>
              </w:rPr>
              <w:t>5</w:t>
            </w:r>
          </w:p>
        </w:tc>
        <w:tc>
          <w:tcPr>
            <w:tcW w:w="1060" w:type="dxa"/>
          </w:tcPr>
          <w:p>
            <w:pPr>
              <w:pStyle w:val="TableParagraph"/>
              <w:spacing w:before="5"/>
              <w:ind w:left="120"/>
              <w:rPr>
                <w:sz w:val="16"/>
              </w:rPr>
            </w:pPr>
            <w:r>
              <w:rPr>
                <w:spacing w:val="-2"/>
                <w:sz w:val="16"/>
              </w:rPr>
              <w:t>Sanga-</w:t>
            </w:r>
          </w:p>
          <w:p>
            <w:pPr>
              <w:pStyle w:val="TableParagraph"/>
              <w:spacing w:before="104"/>
              <w:ind w:left="120"/>
              <w:rPr>
                <w:sz w:val="16"/>
              </w:rPr>
            </w:pPr>
            <w:r>
              <w:rPr>
                <w:spacing w:val="-2"/>
                <w:sz w:val="16"/>
              </w:rPr>
              <w:t>Sanga</w:t>
            </w:r>
          </w:p>
        </w:tc>
        <w:tc>
          <w:tcPr>
            <w:tcW w:w="614" w:type="dxa"/>
            <w:shd w:val="clear" w:color="auto" w:fill="B4C5E7"/>
          </w:tcPr>
          <w:p>
            <w:pPr>
              <w:pStyle w:val="TableParagraph"/>
              <w:spacing w:before="76"/>
              <w:rPr>
                <w:rFonts w:ascii="Lucida Sans Unicode"/>
                <w:sz w:val="16"/>
              </w:rPr>
            </w:pPr>
          </w:p>
          <w:p>
            <w:pPr>
              <w:pStyle w:val="TableParagraph"/>
              <w:ind w:right="91"/>
              <w:jc w:val="right"/>
              <w:rPr>
                <w:sz w:val="16"/>
              </w:rPr>
            </w:pPr>
            <w:r>
              <w:rPr>
                <w:spacing w:val="-5"/>
                <w:sz w:val="16"/>
              </w:rPr>
              <w:t>33</w:t>
            </w:r>
          </w:p>
        </w:tc>
        <w:tc>
          <w:tcPr>
            <w:tcW w:w="508" w:type="dxa"/>
          </w:tcPr>
          <w:p>
            <w:pPr>
              <w:pStyle w:val="TableParagraph"/>
              <w:spacing w:before="76"/>
              <w:rPr>
                <w:rFonts w:ascii="Lucida Sans Unicode"/>
                <w:sz w:val="16"/>
              </w:rPr>
            </w:pPr>
          </w:p>
          <w:p>
            <w:pPr>
              <w:pStyle w:val="TableParagraph"/>
              <w:ind w:right="101"/>
              <w:jc w:val="right"/>
              <w:rPr>
                <w:i/>
                <w:sz w:val="16"/>
              </w:rPr>
            </w:pPr>
            <w:r>
              <w:rPr>
                <w:i/>
                <w:spacing w:val="-10"/>
                <w:sz w:val="16"/>
              </w:rPr>
              <w:t>5</w:t>
            </w:r>
          </w:p>
        </w:tc>
        <w:tc>
          <w:tcPr>
            <w:tcW w:w="436" w:type="dxa"/>
          </w:tcPr>
          <w:p>
            <w:pPr>
              <w:pStyle w:val="TableParagraph"/>
              <w:spacing w:before="76"/>
              <w:rPr>
                <w:rFonts w:ascii="Lucida Sans Unicode"/>
                <w:sz w:val="16"/>
              </w:rPr>
            </w:pPr>
          </w:p>
          <w:p>
            <w:pPr>
              <w:pStyle w:val="TableParagraph"/>
              <w:ind w:left="130"/>
              <w:jc w:val="center"/>
              <w:rPr>
                <w:i/>
                <w:sz w:val="16"/>
              </w:rPr>
            </w:pPr>
            <w:r>
              <w:rPr>
                <w:i/>
                <w:spacing w:val="-10"/>
                <w:sz w:val="16"/>
              </w:rPr>
              <w:t>5</w:t>
            </w:r>
          </w:p>
        </w:tc>
        <w:tc>
          <w:tcPr>
            <w:tcW w:w="536" w:type="dxa"/>
          </w:tcPr>
          <w:p>
            <w:pPr>
              <w:pStyle w:val="TableParagraph"/>
              <w:spacing w:before="76"/>
              <w:rPr>
                <w:rFonts w:ascii="Lucida Sans Unicode"/>
                <w:sz w:val="16"/>
              </w:rPr>
            </w:pPr>
          </w:p>
          <w:p>
            <w:pPr>
              <w:pStyle w:val="TableParagraph"/>
              <w:ind w:right="103"/>
              <w:jc w:val="right"/>
              <w:rPr>
                <w:i/>
                <w:sz w:val="16"/>
              </w:rPr>
            </w:pPr>
            <w:r>
              <w:rPr>
                <w:i/>
                <w:spacing w:val="-10"/>
                <w:sz w:val="16"/>
              </w:rPr>
              <w:t>0</w:t>
            </w:r>
          </w:p>
        </w:tc>
        <w:tc>
          <w:tcPr>
            <w:tcW w:w="507" w:type="dxa"/>
          </w:tcPr>
          <w:p>
            <w:pPr>
              <w:pStyle w:val="TableParagraph"/>
              <w:spacing w:before="76"/>
              <w:rPr>
                <w:rFonts w:ascii="Lucida Sans Unicode"/>
                <w:sz w:val="16"/>
              </w:rPr>
            </w:pPr>
          </w:p>
          <w:p>
            <w:pPr>
              <w:pStyle w:val="TableParagraph"/>
              <w:ind w:right="96"/>
              <w:jc w:val="right"/>
              <w:rPr>
                <w:i/>
                <w:sz w:val="16"/>
              </w:rPr>
            </w:pPr>
            <w:r>
              <w:rPr>
                <w:i/>
                <w:spacing w:val="-10"/>
                <w:sz w:val="16"/>
              </w:rPr>
              <w:t>0</w:t>
            </w:r>
          </w:p>
        </w:tc>
        <w:tc>
          <w:tcPr>
            <w:tcW w:w="690" w:type="dxa"/>
          </w:tcPr>
          <w:p>
            <w:pPr>
              <w:pStyle w:val="TableParagraph"/>
              <w:spacing w:before="76"/>
              <w:rPr>
                <w:rFonts w:ascii="Lucida Sans Unicode"/>
                <w:sz w:val="16"/>
              </w:rPr>
            </w:pPr>
          </w:p>
          <w:p>
            <w:pPr>
              <w:pStyle w:val="TableParagraph"/>
              <w:ind w:right="99"/>
              <w:jc w:val="right"/>
              <w:rPr>
                <w:i/>
                <w:sz w:val="16"/>
              </w:rPr>
            </w:pPr>
            <w:r>
              <w:rPr>
                <w:i/>
                <w:spacing w:val="-10"/>
                <w:sz w:val="16"/>
              </w:rPr>
              <w:t>1</w:t>
            </w:r>
          </w:p>
        </w:tc>
        <w:tc>
          <w:tcPr>
            <w:tcW w:w="526" w:type="dxa"/>
          </w:tcPr>
          <w:p>
            <w:pPr>
              <w:pStyle w:val="TableParagraph"/>
              <w:spacing w:before="76"/>
              <w:rPr>
                <w:rFonts w:ascii="Lucida Sans Unicode"/>
                <w:sz w:val="16"/>
              </w:rPr>
            </w:pPr>
          </w:p>
          <w:p>
            <w:pPr>
              <w:pStyle w:val="TableParagraph"/>
              <w:ind w:right="97"/>
              <w:jc w:val="right"/>
              <w:rPr>
                <w:i/>
                <w:sz w:val="16"/>
              </w:rPr>
            </w:pPr>
            <w:r>
              <w:rPr>
                <w:i/>
                <w:spacing w:val="-10"/>
                <w:sz w:val="16"/>
              </w:rPr>
              <w:t>0</w:t>
            </w:r>
          </w:p>
        </w:tc>
        <w:tc>
          <w:tcPr>
            <w:tcW w:w="507" w:type="dxa"/>
          </w:tcPr>
          <w:p>
            <w:pPr>
              <w:pStyle w:val="TableParagraph"/>
              <w:spacing w:before="76"/>
              <w:rPr>
                <w:rFonts w:ascii="Lucida Sans Unicode"/>
                <w:sz w:val="16"/>
              </w:rPr>
            </w:pPr>
          </w:p>
          <w:p>
            <w:pPr>
              <w:pStyle w:val="TableParagraph"/>
              <w:ind w:right="89"/>
              <w:jc w:val="right"/>
              <w:rPr>
                <w:i/>
                <w:sz w:val="16"/>
              </w:rPr>
            </w:pPr>
            <w:r>
              <w:rPr>
                <w:i/>
                <w:spacing w:val="-5"/>
                <w:sz w:val="16"/>
              </w:rPr>
              <w:t>16</w:t>
            </w:r>
          </w:p>
        </w:tc>
        <w:tc>
          <w:tcPr>
            <w:tcW w:w="569" w:type="dxa"/>
          </w:tcPr>
          <w:p>
            <w:pPr>
              <w:pStyle w:val="TableParagraph"/>
              <w:spacing w:before="76"/>
              <w:rPr>
                <w:rFonts w:ascii="Lucida Sans Unicode"/>
                <w:sz w:val="16"/>
              </w:rPr>
            </w:pPr>
          </w:p>
          <w:p>
            <w:pPr>
              <w:pStyle w:val="TableParagraph"/>
              <w:ind w:right="93"/>
              <w:jc w:val="right"/>
              <w:rPr>
                <w:i/>
                <w:sz w:val="16"/>
              </w:rPr>
            </w:pPr>
            <w:r>
              <w:rPr>
                <w:i/>
                <w:spacing w:val="-10"/>
                <w:sz w:val="16"/>
              </w:rPr>
              <w:t>3</w:t>
            </w:r>
          </w:p>
        </w:tc>
        <w:tc>
          <w:tcPr>
            <w:tcW w:w="589" w:type="dxa"/>
          </w:tcPr>
          <w:p>
            <w:pPr>
              <w:pStyle w:val="TableParagraph"/>
              <w:spacing w:before="76"/>
              <w:rPr>
                <w:rFonts w:ascii="Lucida Sans Unicode"/>
                <w:sz w:val="16"/>
              </w:rPr>
            </w:pPr>
          </w:p>
          <w:p>
            <w:pPr>
              <w:pStyle w:val="TableParagraph"/>
              <w:ind w:right="96"/>
              <w:jc w:val="right"/>
              <w:rPr>
                <w:i/>
                <w:sz w:val="16"/>
              </w:rPr>
            </w:pPr>
            <w:r>
              <w:rPr>
                <w:i/>
                <w:spacing w:val="-10"/>
                <w:sz w:val="16"/>
              </w:rPr>
              <w:t>1</w:t>
            </w:r>
          </w:p>
        </w:tc>
        <w:tc>
          <w:tcPr>
            <w:tcW w:w="574" w:type="dxa"/>
          </w:tcPr>
          <w:p>
            <w:pPr>
              <w:pStyle w:val="TableParagraph"/>
              <w:spacing w:before="76"/>
              <w:rPr>
                <w:rFonts w:ascii="Lucida Sans Unicode"/>
                <w:sz w:val="16"/>
              </w:rPr>
            </w:pPr>
          </w:p>
          <w:p>
            <w:pPr>
              <w:pStyle w:val="TableParagraph"/>
              <w:ind w:right="94"/>
              <w:jc w:val="right"/>
              <w:rPr>
                <w:i/>
                <w:sz w:val="16"/>
              </w:rPr>
            </w:pPr>
            <w:r>
              <w:rPr>
                <w:i/>
                <w:spacing w:val="-10"/>
                <w:sz w:val="16"/>
              </w:rPr>
              <w:t>2</w:t>
            </w:r>
          </w:p>
        </w:tc>
        <w:tc>
          <w:tcPr>
            <w:tcW w:w="507" w:type="dxa"/>
          </w:tcPr>
          <w:p>
            <w:pPr>
              <w:pStyle w:val="TableParagraph"/>
              <w:spacing w:before="76"/>
              <w:rPr>
                <w:rFonts w:ascii="Lucida Sans Unicode"/>
                <w:sz w:val="16"/>
              </w:rPr>
            </w:pPr>
          </w:p>
          <w:p>
            <w:pPr>
              <w:pStyle w:val="TableParagraph"/>
              <w:ind w:right="97"/>
              <w:jc w:val="right"/>
              <w:rPr>
                <w:i/>
                <w:sz w:val="16"/>
              </w:rPr>
            </w:pPr>
            <w:r>
              <w:rPr>
                <w:i/>
                <w:spacing w:val="-10"/>
                <w:sz w:val="16"/>
              </w:rPr>
              <w:t>0</w:t>
            </w:r>
          </w:p>
        </w:tc>
      </w:tr>
      <w:tr>
        <w:trPr>
          <w:trHeight w:val="321" w:hRule="atLeast"/>
        </w:trPr>
        <w:tc>
          <w:tcPr>
            <w:tcW w:w="1516" w:type="dxa"/>
            <w:gridSpan w:val="2"/>
          </w:tcPr>
          <w:p>
            <w:pPr>
              <w:pStyle w:val="TableParagraph"/>
              <w:ind w:left="513"/>
              <w:rPr>
                <w:b/>
                <w:sz w:val="16"/>
              </w:rPr>
            </w:pPr>
            <w:r>
              <w:rPr>
                <w:b/>
                <w:spacing w:val="-2"/>
                <w:sz w:val="16"/>
              </w:rPr>
              <w:t>TOTAL</w:t>
            </w:r>
          </w:p>
        </w:tc>
        <w:tc>
          <w:tcPr>
            <w:tcW w:w="614" w:type="dxa"/>
            <w:shd w:val="clear" w:color="auto" w:fill="B4C5E7"/>
          </w:tcPr>
          <w:p>
            <w:pPr>
              <w:pStyle w:val="TableParagraph"/>
              <w:ind w:right="96"/>
              <w:jc w:val="right"/>
              <w:rPr>
                <w:b/>
                <w:sz w:val="16"/>
              </w:rPr>
            </w:pPr>
            <w:r>
              <w:rPr>
                <w:b/>
                <w:spacing w:val="-5"/>
                <w:sz w:val="16"/>
              </w:rPr>
              <w:t>428</w:t>
            </w:r>
          </w:p>
        </w:tc>
        <w:tc>
          <w:tcPr>
            <w:tcW w:w="508" w:type="dxa"/>
          </w:tcPr>
          <w:p>
            <w:pPr>
              <w:pStyle w:val="TableParagraph"/>
              <w:ind w:left="122"/>
              <w:rPr>
                <w:b/>
                <w:i/>
                <w:sz w:val="16"/>
              </w:rPr>
            </w:pPr>
            <w:r>
              <w:rPr>
                <w:b/>
                <w:i/>
                <w:spacing w:val="-5"/>
                <w:sz w:val="16"/>
              </w:rPr>
              <w:t>135</w:t>
            </w:r>
          </w:p>
        </w:tc>
        <w:tc>
          <w:tcPr>
            <w:tcW w:w="436" w:type="dxa"/>
          </w:tcPr>
          <w:p>
            <w:pPr>
              <w:pStyle w:val="TableParagraph"/>
              <w:ind w:left="59" w:right="19"/>
              <w:jc w:val="center"/>
              <w:rPr>
                <w:b/>
                <w:i/>
                <w:sz w:val="16"/>
              </w:rPr>
            </w:pPr>
            <w:r>
              <w:rPr>
                <w:b/>
                <w:i/>
                <w:spacing w:val="-5"/>
                <w:sz w:val="16"/>
              </w:rPr>
              <w:t>55</w:t>
            </w:r>
          </w:p>
        </w:tc>
        <w:tc>
          <w:tcPr>
            <w:tcW w:w="536" w:type="dxa"/>
          </w:tcPr>
          <w:p>
            <w:pPr>
              <w:pStyle w:val="TableParagraph"/>
              <w:ind w:right="102"/>
              <w:jc w:val="right"/>
              <w:rPr>
                <w:b/>
                <w:i/>
                <w:sz w:val="16"/>
              </w:rPr>
            </w:pPr>
            <w:r>
              <w:rPr>
                <w:b/>
                <w:i/>
                <w:spacing w:val="-10"/>
                <w:sz w:val="16"/>
              </w:rPr>
              <w:t>3</w:t>
            </w:r>
          </w:p>
        </w:tc>
        <w:tc>
          <w:tcPr>
            <w:tcW w:w="507" w:type="dxa"/>
          </w:tcPr>
          <w:p>
            <w:pPr>
              <w:pStyle w:val="TableParagraph"/>
              <w:ind w:right="95"/>
              <w:jc w:val="right"/>
              <w:rPr>
                <w:b/>
                <w:i/>
                <w:sz w:val="16"/>
              </w:rPr>
            </w:pPr>
            <w:r>
              <w:rPr>
                <w:b/>
                <w:i/>
                <w:spacing w:val="-10"/>
                <w:sz w:val="16"/>
              </w:rPr>
              <w:t>2</w:t>
            </w:r>
          </w:p>
        </w:tc>
        <w:tc>
          <w:tcPr>
            <w:tcW w:w="690" w:type="dxa"/>
          </w:tcPr>
          <w:p>
            <w:pPr>
              <w:pStyle w:val="TableParagraph"/>
              <w:ind w:right="98"/>
              <w:jc w:val="right"/>
              <w:rPr>
                <w:b/>
                <w:i/>
                <w:sz w:val="16"/>
              </w:rPr>
            </w:pPr>
            <w:r>
              <w:rPr>
                <w:b/>
                <w:i/>
                <w:spacing w:val="-10"/>
                <w:sz w:val="16"/>
              </w:rPr>
              <w:t>6</w:t>
            </w:r>
          </w:p>
        </w:tc>
        <w:tc>
          <w:tcPr>
            <w:tcW w:w="526" w:type="dxa"/>
          </w:tcPr>
          <w:p>
            <w:pPr>
              <w:pStyle w:val="TableParagraph"/>
              <w:ind w:right="96"/>
              <w:jc w:val="right"/>
              <w:rPr>
                <w:b/>
                <w:i/>
                <w:sz w:val="16"/>
              </w:rPr>
            </w:pPr>
            <w:r>
              <w:rPr>
                <w:b/>
                <w:i/>
                <w:spacing w:val="-10"/>
                <w:sz w:val="16"/>
              </w:rPr>
              <w:t>3</w:t>
            </w:r>
          </w:p>
        </w:tc>
        <w:tc>
          <w:tcPr>
            <w:tcW w:w="507" w:type="dxa"/>
          </w:tcPr>
          <w:p>
            <w:pPr>
              <w:pStyle w:val="TableParagraph"/>
              <w:ind w:left="126"/>
              <w:rPr>
                <w:b/>
                <w:i/>
                <w:sz w:val="16"/>
              </w:rPr>
            </w:pPr>
            <w:r>
              <w:rPr>
                <w:b/>
                <w:i/>
                <w:spacing w:val="-5"/>
                <w:sz w:val="16"/>
              </w:rPr>
              <w:t>146</w:t>
            </w:r>
          </w:p>
        </w:tc>
        <w:tc>
          <w:tcPr>
            <w:tcW w:w="569" w:type="dxa"/>
          </w:tcPr>
          <w:p>
            <w:pPr>
              <w:pStyle w:val="TableParagraph"/>
              <w:ind w:right="87"/>
              <w:jc w:val="right"/>
              <w:rPr>
                <w:b/>
                <w:i/>
                <w:sz w:val="16"/>
              </w:rPr>
            </w:pPr>
            <w:r>
              <w:rPr>
                <w:b/>
                <w:i/>
                <w:spacing w:val="-5"/>
                <w:sz w:val="16"/>
              </w:rPr>
              <w:t>44</w:t>
            </w:r>
          </w:p>
        </w:tc>
        <w:tc>
          <w:tcPr>
            <w:tcW w:w="589" w:type="dxa"/>
          </w:tcPr>
          <w:p>
            <w:pPr>
              <w:pStyle w:val="TableParagraph"/>
              <w:ind w:right="90"/>
              <w:jc w:val="right"/>
              <w:rPr>
                <w:b/>
                <w:i/>
                <w:sz w:val="16"/>
              </w:rPr>
            </w:pPr>
            <w:r>
              <w:rPr>
                <w:b/>
                <w:i/>
                <w:spacing w:val="-5"/>
                <w:sz w:val="16"/>
              </w:rPr>
              <w:t>13</w:t>
            </w:r>
          </w:p>
        </w:tc>
        <w:tc>
          <w:tcPr>
            <w:tcW w:w="574" w:type="dxa"/>
          </w:tcPr>
          <w:p>
            <w:pPr>
              <w:pStyle w:val="TableParagraph"/>
              <w:ind w:right="88"/>
              <w:jc w:val="right"/>
              <w:rPr>
                <w:b/>
                <w:i/>
                <w:sz w:val="16"/>
              </w:rPr>
            </w:pPr>
            <w:r>
              <w:rPr>
                <w:b/>
                <w:i/>
                <w:spacing w:val="-5"/>
                <w:sz w:val="16"/>
              </w:rPr>
              <w:t>18</w:t>
            </w:r>
          </w:p>
        </w:tc>
        <w:tc>
          <w:tcPr>
            <w:tcW w:w="507" w:type="dxa"/>
          </w:tcPr>
          <w:p>
            <w:pPr>
              <w:pStyle w:val="TableParagraph"/>
              <w:ind w:right="96"/>
              <w:jc w:val="right"/>
              <w:rPr>
                <w:b/>
                <w:i/>
                <w:sz w:val="16"/>
              </w:rPr>
            </w:pPr>
            <w:r>
              <w:rPr>
                <w:b/>
                <w:i/>
                <w:spacing w:val="-10"/>
                <w:sz w:val="16"/>
              </w:rPr>
              <w:t>3</w:t>
            </w:r>
          </w:p>
        </w:tc>
      </w:tr>
    </w:tbl>
    <w:p>
      <w:pPr>
        <w:spacing w:line="242" w:lineRule="auto" w:before="0"/>
        <w:ind w:left="1608" w:right="0" w:firstLine="0"/>
        <w:jc w:val="left"/>
        <w:rPr>
          <w:i/>
          <w:sz w:val="24"/>
        </w:rPr>
      </w:pPr>
      <w:r>
        <w:rPr>
          <w:i/>
          <w:sz w:val="24"/>
        </w:rPr>
        <w:t>Catatan:</w:t>
      </w:r>
      <w:r>
        <w:rPr>
          <w:i/>
          <w:spacing w:val="-6"/>
          <w:sz w:val="24"/>
        </w:rPr>
        <w:t> </w:t>
      </w:r>
      <w:r>
        <w:rPr>
          <w:i/>
          <w:sz w:val="24"/>
        </w:rPr>
        <w:t>Data</w:t>
      </w:r>
      <w:r>
        <w:rPr>
          <w:i/>
          <w:spacing w:val="-7"/>
          <w:sz w:val="24"/>
        </w:rPr>
        <w:t> </w:t>
      </w:r>
      <w:r>
        <w:rPr>
          <w:i/>
          <w:sz w:val="24"/>
        </w:rPr>
        <w:t>sekolah</w:t>
      </w:r>
      <w:r>
        <w:rPr>
          <w:i/>
          <w:spacing w:val="-6"/>
          <w:sz w:val="24"/>
        </w:rPr>
        <w:t> </w:t>
      </w:r>
      <w:r>
        <w:rPr>
          <w:i/>
          <w:sz w:val="24"/>
        </w:rPr>
        <w:t>pada</w:t>
      </w:r>
      <w:r>
        <w:rPr>
          <w:i/>
          <w:spacing w:val="-7"/>
          <w:sz w:val="24"/>
        </w:rPr>
        <w:t> </w:t>
      </w:r>
      <w:r>
        <w:rPr>
          <w:i/>
          <w:sz w:val="24"/>
        </w:rPr>
        <w:t>Kecamatan</w:t>
      </w:r>
      <w:r>
        <w:rPr>
          <w:i/>
          <w:spacing w:val="-7"/>
          <w:sz w:val="24"/>
        </w:rPr>
        <w:t> </w:t>
      </w:r>
      <w:r>
        <w:rPr>
          <w:i/>
          <w:sz w:val="24"/>
        </w:rPr>
        <w:t>Samboja</w:t>
      </w:r>
      <w:r>
        <w:rPr>
          <w:i/>
          <w:spacing w:val="-7"/>
          <w:sz w:val="24"/>
        </w:rPr>
        <w:t> </w:t>
      </w:r>
      <w:r>
        <w:rPr>
          <w:i/>
          <w:sz w:val="24"/>
        </w:rPr>
        <w:t>dan</w:t>
      </w:r>
      <w:r>
        <w:rPr>
          <w:i/>
          <w:spacing w:val="-1"/>
          <w:sz w:val="24"/>
        </w:rPr>
        <w:t> </w:t>
      </w:r>
      <w:r>
        <w:rPr>
          <w:i/>
          <w:sz w:val="24"/>
        </w:rPr>
        <w:t>Kecamatan Samboja Barat tergabung dalam data Kecamatan Samboja.</w:t>
      </w:r>
    </w:p>
    <w:p>
      <w:pPr>
        <w:pStyle w:val="BodyText"/>
        <w:spacing w:before="156"/>
        <w:jc w:val="left"/>
        <w:rPr>
          <w:i/>
        </w:rPr>
      </w:pPr>
    </w:p>
    <w:p>
      <w:pPr>
        <w:pStyle w:val="BodyText"/>
        <w:spacing w:line="360" w:lineRule="auto" w:before="1"/>
        <w:ind w:left="1843" w:right="705"/>
      </w:pPr>
      <w:r>
        <w:rPr>
          <w:color w:val="0D0D0D"/>
        </w:rPr>
        <w:t>Keberadaan fasilitas Pendidikan dasar hingga atas di 6 kecamatan berperan penting dalam mengangkat kualitas SDM Kabupaten Kutai Kartanegara. Ketiadaan infrastruktur pendidikan di suatu daerah dapat memberikan pengaruh yang</w:t>
      </w:r>
    </w:p>
    <w:p>
      <w:pPr>
        <w:pStyle w:val="BodyText"/>
        <w:spacing w:after="0" w:line="360" w:lineRule="auto"/>
        <w:sectPr>
          <w:pgSz w:w="11910" w:h="16840"/>
          <w:pgMar w:header="0" w:footer="1186" w:top="1580" w:bottom="1380" w:left="1700" w:right="992"/>
        </w:sectPr>
      </w:pPr>
    </w:p>
    <w:p>
      <w:pPr>
        <w:pStyle w:val="BodyText"/>
        <w:spacing w:line="360" w:lineRule="auto" w:before="82" w:after="3"/>
        <w:ind w:left="1843" w:right="702"/>
      </w:pPr>
      <w:r>
        <w:rPr>
          <w:color w:val="0D0D0D"/>
        </w:rPr>
        <w:t>signifikan terhadap kemajuan sosial dan kesejahteraan masyarakat</w:t>
      </w:r>
      <w:r>
        <w:rPr>
          <w:color w:val="0D0D0D"/>
          <w:spacing w:val="-17"/>
        </w:rPr>
        <w:t> </w:t>
      </w:r>
      <w:r>
        <w:rPr>
          <w:color w:val="0D0D0D"/>
        </w:rPr>
        <w:t>di</w:t>
      </w:r>
      <w:r>
        <w:rPr>
          <w:color w:val="0D0D0D"/>
          <w:spacing w:val="-16"/>
        </w:rPr>
        <w:t> </w:t>
      </w:r>
      <w:r>
        <w:rPr>
          <w:color w:val="0D0D0D"/>
        </w:rPr>
        <w:t>sekitarnya.</w:t>
      </w:r>
      <w:r>
        <w:rPr>
          <w:color w:val="0D0D0D"/>
          <w:spacing w:val="-17"/>
        </w:rPr>
        <w:t> </w:t>
      </w:r>
      <w:r>
        <w:rPr>
          <w:color w:val="0D0D0D"/>
        </w:rPr>
        <w:t>Institusi</w:t>
      </w:r>
      <w:r>
        <w:rPr>
          <w:color w:val="0D0D0D"/>
          <w:spacing w:val="-16"/>
        </w:rPr>
        <w:t> </w:t>
      </w:r>
      <w:r>
        <w:rPr>
          <w:color w:val="0D0D0D"/>
        </w:rPr>
        <w:t>pendidikan,</w:t>
      </w:r>
      <w:r>
        <w:rPr>
          <w:color w:val="0D0D0D"/>
          <w:spacing w:val="-17"/>
        </w:rPr>
        <w:t> </w:t>
      </w:r>
      <w:r>
        <w:rPr>
          <w:color w:val="0D0D0D"/>
        </w:rPr>
        <w:t>termasuk</w:t>
      </w:r>
      <w:r>
        <w:rPr>
          <w:color w:val="0D0D0D"/>
          <w:spacing w:val="-16"/>
        </w:rPr>
        <w:t> </w:t>
      </w:r>
      <w:r>
        <w:rPr>
          <w:color w:val="0D0D0D"/>
        </w:rPr>
        <w:t>sekolah dan pusat-pusat pembelajaran, memiliki peran penting dalam menumbuhkan</w:t>
      </w:r>
      <w:r>
        <w:rPr>
          <w:color w:val="0D0D0D"/>
          <w:spacing w:val="-17"/>
        </w:rPr>
        <w:t> </w:t>
      </w:r>
      <w:r>
        <w:rPr>
          <w:color w:val="0D0D0D"/>
        </w:rPr>
        <w:t>generasi</w:t>
      </w:r>
      <w:r>
        <w:rPr>
          <w:color w:val="0D0D0D"/>
          <w:spacing w:val="-16"/>
        </w:rPr>
        <w:t> </w:t>
      </w:r>
      <w:r>
        <w:rPr>
          <w:color w:val="0D0D0D"/>
        </w:rPr>
        <w:t>masa</w:t>
      </w:r>
      <w:r>
        <w:rPr>
          <w:color w:val="0D0D0D"/>
          <w:spacing w:val="-17"/>
        </w:rPr>
        <w:t> </w:t>
      </w:r>
      <w:r>
        <w:rPr>
          <w:color w:val="0D0D0D"/>
        </w:rPr>
        <w:t>depan</w:t>
      </w:r>
      <w:r>
        <w:rPr>
          <w:color w:val="0D0D0D"/>
          <w:spacing w:val="-16"/>
        </w:rPr>
        <w:t> </w:t>
      </w:r>
      <w:r>
        <w:rPr>
          <w:color w:val="0D0D0D"/>
        </w:rPr>
        <w:t>yang</w:t>
      </w:r>
      <w:r>
        <w:rPr>
          <w:color w:val="0D0D0D"/>
          <w:spacing w:val="-17"/>
        </w:rPr>
        <w:t> </w:t>
      </w:r>
      <w:r>
        <w:rPr>
          <w:color w:val="0D0D0D"/>
        </w:rPr>
        <w:t>berpengetahuanluas dan terpelajar. Hilangnya infrastruktur pendidikan, mengakibatkan terbatasnya kesempatan pendidikan. Fenomena</w:t>
      </w:r>
      <w:r>
        <w:rPr>
          <w:color w:val="0D0D0D"/>
          <w:spacing w:val="-5"/>
        </w:rPr>
        <w:t> </w:t>
      </w:r>
      <w:r>
        <w:rPr>
          <w:color w:val="0D0D0D"/>
        </w:rPr>
        <w:t>ini</w:t>
      </w:r>
      <w:r>
        <w:rPr>
          <w:color w:val="0D0D0D"/>
          <w:spacing w:val="-4"/>
        </w:rPr>
        <w:t> </w:t>
      </w:r>
      <w:r>
        <w:rPr>
          <w:color w:val="0D0D0D"/>
        </w:rPr>
        <w:t>berpotensi</w:t>
      </w:r>
      <w:r>
        <w:rPr>
          <w:color w:val="0D0D0D"/>
          <w:spacing w:val="-4"/>
        </w:rPr>
        <w:t> </w:t>
      </w:r>
      <w:r>
        <w:rPr>
          <w:color w:val="0D0D0D"/>
        </w:rPr>
        <w:t>menghambat</w:t>
      </w:r>
      <w:r>
        <w:rPr>
          <w:color w:val="0D0D0D"/>
          <w:spacing w:val="-3"/>
        </w:rPr>
        <w:t> </w:t>
      </w:r>
      <w:r>
        <w:rPr>
          <w:color w:val="0D0D0D"/>
        </w:rPr>
        <w:t>ekspansi</w:t>
      </w:r>
      <w:r>
        <w:rPr>
          <w:color w:val="0D0D0D"/>
          <w:spacing w:val="-4"/>
        </w:rPr>
        <w:t> </w:t>
      </w:r>
      <w:r>
        <w:rPr>
          <w:color w:val="0D0D0D"/>
        </w:rPr>
        <w:t>ekonomi</w:t>
      </w:r>
      <w:r>
        <w:rPr>
          <w:color w:val="0D0D0D"/>
          <w:spacing w:val="-4"/>
        </w:rPr>
        <w:t> </w:t>
      </w:r>
      <w:r>
        <w:rPr>
          <w:color w:val="0D0D0D"/>
        </w:rPr>
        <w:t>yang berkelanjutan dan meningkatkan kemungkinan kemiskinan serta mobilitas sosial yang terbatas bagi generasi yang akan </w:t>
      </w:r>
      <w:r>
        <w:rPr>
          <w:color w:val="0D0D0D"/>
          <w:spacing w:val="-2"/>
        </w:rPr>
        <w:t>datang.</w:t>
      </w:r>
    </w:p>
    <w:p>
      <w:pPr>
        <w:pStyle w:val="BodyText"/>
        <w:ind w:left="568"/>
        <w:jc w:val="left"/>
        <w:rPr>
          <w:sz w:val="20"/>
        </w:rPr>
      </w:pPr>
      <w:r>
        <w:rPr>
          <w:sz w:val="20"/>
        </w:rPr>
        <w:drawing>
          <wp:inline distT="0" distB="0" distL="0" distR="0">
            <wp:extent cx="5059537" cy="3552825"/>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1" cstate="print"/>
                    <a:stretch>
                      <a:fillRect/>
                    </a:stretch>
                  </pic:blipFill>
                  <pic:spPr>
                    <a:xfrm>
                      <a:off x="0" y="0"/>
                      <a:ext cx="5059537" cy="3552825"/>
                    </a:xfrm>
                    <a:prstGeom prst="rect">
                      <a:avLst/>
                    </a:prstGeom>
                  </pic:spPr>
                </pic:pic>
              </a:graphicData>
            </a:graphic>
          </wp:inline>
        </w:drawing>
      </w:r>
      <w:r>
        <w:rPr>
          <w:sz w:val="20"/>
        </w:rPr>
      </w:r>
    </w:p>
    <w:p>
      <w:pPr>
        <w:spacing w:line="235" w:lineRule="auto" w:before="147"/>
        <w:ind w:left="2890" w:right="720" w:hanging="1825"/>
        <w:jc w:val="left"/>
        <w:rPr>
          <w:rFonts w:ascii="Lucida Sans Unicode"/>
          <w:sz w:val="22"/>
        </w:rPr>
      </w:pPr>
      <w:bookmarkStart w:name="_bookmark68" w:id="69"/>
      <w:bookmarkEnd w:id="69"/>
      <w:r>
        <w:rPr/>
      </w:r>
      <w:r>
        <w:rPr>
          <w:rFonts w:ascii="Tahoma"/>
          <w:b/>
          <w:sz w:val="22"/>
        </w:rPr>
        <w:t>Gambar 15. </w:t>
      </w:r>
      <w:r>
        <w:rPr>
          <w:rFonts w:ascii="Lucida Sans Unicode"/>
          <w:sz w:val="22"/>
        </w:rPr>
        <w:t>Sebaran lokasi fasilitas pendidikan di 6 kecamatan Kabupaten Kutai Kartanegara</w:t>
      </w:r>
    </w:p>
    <w:p>
      <w:pPr>
        <w:pStyle w:val="BodyText"/>
        <w:spacing w:before="321"/>
        <w:jc w:val="left"/>
        <w:rPr>
          <w:rFonts w:ascii="Lucida Sans Unicode"/>
          <w:sz w:val="22"/>
        </w:rPr>
      </w:pPr>
    </w:p>
    <w:p>
      <w:pPr>
        <w:pStyle w:val="Heading2"/>
        <w:numPr>
          <w:ilvl w:val="0"/>
          <w:numId w:val="34"/>
        </w:numPr>
        <w:tabs>
          <w:tab w:pos="1843" w:val="left" w:leader="none"/>
        </w:tabs>
        <w:spacing w:line="240" w:lineRule="auto" w:before="0" w:after="0"/>
        <w:ind w:left="1843" w:right="0" w:hanging="567"/>
        <w:jc w:val="left"/>
      </w:pPr>
      <w:r>
        <w:rPr/>
        <w:t>Pertambangan</w:t>
      </w:r>
      <w:r>
        <w:rPr>
          <w:spacing w:val="-2"/>
        </w:rPr>
        <w:t> </w:t>
      </w:r>
      <w:r>
        <w:rPr/>
        <w:t>&amp;</w:t>
      </w:r>
      <w:r>
        <w:rPr>
          <w:spacing w:val="-2"/>
        </w:rPr>
        <w:t> Migas</w:t>
      </w:r>
    </w:p>
    <w:p>
      <w:pPr>
        <w:pStyle w:val="BodyText"/>
        <w:spacing w:line="360" w:lineRule="auto" w:before="161"/>
        <w:ind w:left="1843" w:right="705"/>
      </w:pPr>
      <w:r>
        <w:rPr>
          <w:color w:val="0D0D0D"/>
        </w:rPr>
        <w:t>Berdasarkan interpretasi batas wilayah dan analisis terhadap beberapa</w:t>
      </w:r>
      <w:r>
        <w:rPr>
          <w:color w:val="0D0D0D"/>
          <w:spacing w:val="-4"/>
        </w:rPr>
        <w:t> </w:t>
      </w:r>
      <w:r>
        <w:rPr>
          <w:color w:val="0D0D0D"/>
        </w:rPr>
        <w:t>informasi geospasial,</w:t>
      </w:r>
      <w:r>
        <w:rPr>
          <w:color w:val="0D0D0D"/>
          <w:spacing w:val="-3"/>
        </w:rPr>
        <w:t> </w:t>
      </w:r>
      <w:r>
        <w:rPr>
          <w:color w:val="0D0D0D"/>
        </w:rPr>
        <w:t>diperoleh</w:t>
      </w:r>
      <w:r>
        <w:rPr>
          <w:color w:val="0D0D0D"/>
          <w:spacing w:val="-3"/>
        </w:rPr>
        <w:t> </w:t>
      </w:r>
      <w:r>
        <w:rPr>
          <w:color w:val="0D0D0D"/>
        </w:rPr>
        <w:t>informasi bahwa </w:t>
      </w:r>
      <w:r>
        <w:rPr/>
        <w:t>dari</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696"/>
      </w:pPr>
      <w:r>
        <w:rPr/>
        <w:drawing>
          <wp:anchor distT="0" distB="0" distL="0" distR="0" allowOverlap="1" layoutInCell="1" locked="0" behindDoc="1" simplePos="0" relativeHeight="487593472">
            <wp:simplePos x="0" y="0"/>
            <wp:positionH relativeFrom="page">
              <wp:posOffset>1473200</wp:posOffset>
            </wp:positionH>
            <wp:positionV relativeFrom="paragraph">
              <wp:posOffset>2822955</wp:posOffset>
            </wp:positionV>
            <wp:extent cx="5036277" cy="352425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5036277" cy="3524250"/>
                    </a:xfrm>
                    <a:prstGeom prst="rect">
                      <a:avLst/>
                    </a:prstGeom>
                  </pic:spPr>
                </pic:pic>
              </a:graphicData>
            </a:graphic>
          </wp:anchor>
        </w:drawing>
      </w:r>
      <w:r>
        <w:rPr/>
        <w:t>6% luas wilayah Kabupaten Kutai Kartanegara (±163.549,2 ha) yang</w:t>
      </w:r>
      <w:r>
        <w:rPr>
          <w:spacing w:val="-12"/>
        </w:rPr>
        <w:t> </w:t>
      </w:r>
      <w:r>
        <w:rPr/>
        <w:t>masuk</w:t>
      </w:r>
      <w:r>
        <w:rPr>
          <w:spacing w:val="-10"/>
        </w:rPr>
        <w:t> </w:t>
      </w:r>
      <w:r>
        <w:rPr/>
        <w:t>ke</w:t>
      </w:r>
      <w:r>
        <w:rPr>
          <w:spacing w:val="-11"/>
        </w:rPr>
        <w:t> </w:t>
      </w:r>
      <w:r>
        <w:rPr/>
        <w:t>wilayah</w:t>
      </w:r>
      <w:r>
        <w:rPr>
          <w:spacing w:val="-11"/>
        </w:rPr>
        <w:t> </w:t>
      </w:r>
      <w:r>
        <w:rPr/>
        <w:t>IKN</w:t>
      </w:r>
      <w:r>
        <w:rPr>
          <w:spacing w:val="-12"/>
        </w:rPr>
        <w:t> </w:t>
      </w:r>
      <w:r>
        <w:rPr/>
        <w:t>didapati</w:t>
      </w:r>
      <w:r>
        <w:rPr>
          <w:spacing w:val="-10"/>
        </w:rPr>
        <w:t> </w:t>
      </w:r>
      <w:r>
        <w:rPr/>
        <w:t>53.874,06</w:t>
      </w:r>
      <w:r>
        <w:rPr>
          <w:spacing w:val="-13"/>
        </w:rPr>
        <w:t> </w:t>
      </w:r>
      <w:r>
        <w:rPr/>
        <w:t>hektar</w:t>
      </w:r>
      <w:r>
        <w:rPr>
          <w:spacing w:val="-11"/>
        </w:rPr>
        <w:t> </w:t>
      </w:r>
      <w:r>
        <w:rPr/>
        <w:t>(atau</w:t>
      </w:r>
      <w:r>
        <w:rPr>
          <w:spacing w:val="-11"/>
        </w:rPr>
        <w:t> </w:t>
      </w:r>
      <w:r>
        <w:rPr/>
        <w:t>32% dari total wilayah Kutai Kartanegara yang masuk ke Kawasan IKN) diantaranya merupakan kawasan IUP Tambang yang aktif dan</w:t>
      </w:r>
      <w:r>
        <w:rPr>
          <w:spacing w:val="-2"/>
        </w:rPr>
        <w:t> </w:t>
      </w:r>
      <w:r>
        <w:rPr/>
        <w:t>berizin</w:t>
      </w:r>
      <w:r>
        <w:rPr>
          <w:spacing w:val="-2"/>
        </w:rPr>
        <w:t> </w:t>
      </w:r>
      <w:r>
        <w:rPr/>
        <w:t>dalam</w:t>
      </w:r>
      <w:r>
        <w:rPr>
          <w:spacing w:val="-1"/>
        </w:rPr>
        <w:t> </w:t>
      </w:r>
      <w:r>
        <w:rPr/>
        <w:t>rentang</w:t>
      </w:r>
      <w:r>
        <w:rPr>
          <w:spacing w:val="-3"/>
        </w:rPr>
        <w:t> </w:t>
      </w:r>
      <w:r>
        <w:rPr/>
        <w:t>waktu</w:t>
      </w:r>
      <w:r>
        <w:rPr>
          <w:spacing w:val="-2"/>
        </w:rPr>
        <w:t> </w:t>
      </w:r>
      <w:r>
        <w:rPr/>
        <w:t>bervariasi</w:t>
      </w:r>
      <w:r>
        <w:rPr>
          <w:spacing w:val="-1"/>
        </w:rPr>
        <w:t> </w:t>
      </w:r>
      <w:r>
        <w:rPr/>
        <w:t>antara</w:t>
      </w:r>
      <w:r>
        <w:rPr>
          <w:spacing w:val="-3"/>
        </w:rPr>
        <w:t> </w:t>
      </w:r>
      <w:r>
        <w:rPr/>
        <w:t>2024 – 2040 (Gambar 16). Peta Rupa Bumi Indonesia (2019) turut memberikan</w:t>
      </w:r>
      <w:r>
        <w:rPr>
          <w:spacing w:val="-10"/>
        </w:rPr>
        <w:t> </w:t>
      </w:r>
      <w:r>
        <w:rPr/>
        <w:t>informasi</w:t>
      </w:r>
      <w:r>
        <w:rPr>
          <w:spacing w:val="-4"/>
        </w:rPr>
        <w:t> </w:t>
      </w:r>
      <w:r>
        <w:rPr/>
        <w:t>adanya</w:t>
      </w:r>
      <w:r>
        <w:rPr>
          <w:spacing w:val="-6"/>
        </w:rPr>
        <w:t> </w:t>
      </w:r>
      <w:r>
        <w:rPr/>
        <w:t>lebih</w:t>
      </w:r>
      <w:r>
        <w:rPr>
          <w:spacing w:val="-10"/>
        </w:rPr>
        <w:t> </w:t>
      </w:r>
      <w:r>
        <w:rPr/>
        <w:t>dari</w:t>
      </w:r>
      <w:r>
        <w:rPr>
          <w:spacing w:val="-9"/>
        </w:rPr>
        <w:t> </w:t>
      </w:r>
      <w:r>
        <w:rPr/>
        <w:t>2500</w:t>
      </w:r>
      <w:r>
        <w:rPr>
          <w:spacing w:val="-3"/>
        </w:rPr>
        <w:t> </w:t>
      </w:r>
      <w:r>
        <w:rPr/>
        <w:t>ha</w:t>
      </w:r>
      <w:r>
        <w:rPr>
          <w:spacing w:val="-11"/>
        </w:rPr>
        <w:t> </w:t>
      </w:r>
      <w:r>
        <w:rPr/>
        <w:t>tutupan</w:t>
      </w:r>
      <w:r>
        <w:rPr>
          <w:spacing w:val="-10"/>
        </w:rPr>
        <w:t> </w:t>
      </w:r>
      <w:r>
        <w:rPr/>
        <w:t>lahan eksisting di area Kutai Kartanegara yang masuk ke IKN berupa kawasan pertambangan.</w:t>
      </w:r>
    </w:p>
    <w:p>
      <w:pPr>
        <w:spacing w:line="235" w:lineRule="auto" w:before="158"/>
        <w:ind w:left="3274" w:right="720" w:hanging="2411"/>
        <w:jc w:val="left"/>
        <w:rPr>
          <w:rFonts w:ascii="Lucida Sans Unicode"/>
          <w:sz w:val="22"/>
        </w:rPr>
      </w:pPr>
      <w:bookmarkStart w:name="_bookmark69" w:id="70"/>
      <w:bookmarkEnd w:id="70"/>
      <w:r>
        <w:rPr/>
      </w:r>
      <w:r>
        <w:rPr>
          <w:rFonts w:ascii="Tahoma"/>
          <w:b/>
          <w:sz w:val="22"/>
        </w:rPr>
        <w:t>Gambar 16. </w:t>
      </w:r>
      <w:r>
        <w:rPr>
          <w:rFonts w:ascii="Lucida Sans Unicode"/>
          <w:sz w:val="22"/>
        </w:rPr>
        <w:t>Lokasi IUP Pertambangan Kab. Kutai Kartanegara yang masuk ke Kawasan IKN</w:t>
      </w:r>
    </w:p>
    <w:p>
      <w:pPr>
        <w:pStyle w:val="BodyText"/>
        <w:spacing w:before="321"/>
        <w:jc w:val="left"/>
        <w:rPr>
          <w:rFonts w:ascii="Lucida Sans Unicode"/>
          <w:sz w:val="22"/>
        </w:rPr>
      </w:pPr>
    </w:p>
    <w:p>
      <w:pPr>
        <w:pStyle w:val="BodyText"/>
        <w:spacing w:line="360" w:lineRule="auto"/>
        <w:ind w:left="1843" w:right="701"/>
      </w:pPr>
      <w:r>
        <w:rPr/>
        <w:t>Dari data yang berhasil dihimpun dari sektor Migas Kabupaten Kutai Kartanegara diketahui bahwa terdapat sedikitnya 676 sumur minyak dan 8 Wilayah Kerja (WK) Migas yang masuk ke Kawasan IKN. Secara spasial lokasi WK dan sumur minyak</w:t>
      </w:r>
    </w:p>
    <w:p>
      <w:pPr>
        <w:pStyle w:val="BodyText"/>
        <w:spacing w:after="0" w:line="360" w:lineRule="auto"/>
        <w:sectPr>
          <w:pgSz w:w="11910" w:h="16840"/>
          <w:pgMar w:header="0" w:footer="1186" w:top="1580" w:bottom="1380" w:left="1700" w:right="992"/>
        </w:sectPr>
      </w:pPr>
    </w:p>
    <w:p>
      <w:pPr>
        <w:pStyle w:val="BodyText"/>
        <w:spacing w:line="360" w:lineRule="auto" w:before="82" w:after="3"/>
        <w:ind w:left="1843" w:right="701"/>
      </w:pPr>
      <w:r>
        <w:rPr/>
        <w:t>menyebar</w:t>
      </w:r>
      <w:r>
        <w:rPr>
          <w:spacing w:val="-3"/>
        </w:rPr>
        <w:t> </w:t>
      </w:r>
      <w:r>
        <w:rPr/>
        <w:t>pada</w:t>
      </w:r>
      <w:r>
        <w:rPr>
          <w:spacing w:val="-2"/>
        </w:rPr>
        <w:t> </w:t>
      </w:r>
      <w:r>
        <w:rPr>
          <w:i/>
        </w:rPr>
        <w:t>offshore</w:t>
      </w:r>
      <w:r>
        <w:rPr>
          <w:i/>
          <w:spacing w:val="-1"/>
        </w:rPr>
        <w:t> </w:t>
      </w:r>
      <w:r>
        <w:rPr/>
        <w:t>maupun</w:t>
      </w:r>
      <w:r>
        <w:rPr>
          <w:spacing w:val="-3"/>
        </w:rPr>
        <w:t> </w:t>
      </w:r>
      <w:r>
        <w:rPr/>
        <w:t>onshore.</w:t>
      </w:r>
      <w:r>
        <w:rPr>
          <w:spacing w:val="-1"/>
        </w:rPr>
        <w:t> </w:t>
      </w:r>
      <w:r>
        <w:rPr/>
        <w:t>WK</w:t>
      </w:r>
      <w:r>
        <w:rPr>
          <w:spacing w:val="-1"/>
        </w:rPr>
        <w:t> </w:t>
      </w:r>
      <w:r>
        <w:rPr/>
        <w:t>Migas</w:t>
      </w:r>
      <w:r>
        <w:rPr>
          <w:spacing w:val="-3"/>
        </w:rPr>
        <w:t> </w:t>
      </w:r>
      <w:r>
        <w:rPr/>
        <w:t>berstatus aktif, pada fase ekplotasi dengan jenis konvensional (Gambar </w:t>
      </w:r>
      <w:r>
        <w:rPr>
          <w:spacing w:val="-4"/>
        </w:rPr>
        <w:t>17).</w:t>
      </w:r>
    </w:p>
    <w:p>
      <w:pPr>
        <w:pStyle w:val="BodyText"/>
        <w:ind w:left="568"/>
        <w:jc w:val="left"/>
        <w:rPr>
          <w:sz w:val="20"/>
        </w:rPr>
      </w:pPr>
      <w:r>
        <w:rPr>
          <w:sz w:val="20"/>
        </w:rPr>
        <w:drawing>
          <wp:inline distT="0" distB="0" distL="0" distR="0">
            <wp:extent cx="5065704" cy="3524250"/>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3" cstate="print"/>
                    <a:stretch>
                      <a:fillRect/>
                    </a:stretch>
                  </pic:blipFill>
                  <pic:spPr>
                    <a:xfrm>
                      <a:off x="0" y="0"/>
                      <a:ext cx="5065704" cy="3524250"/>
                    </a:xfrm>
                    <a:prstGeom prst="rect">
                      <a:avLst/>
                    </a:prstGeom>
                  </pic:spPr>
                </pic:pic>
              </a:graphicData>
            </a:graphic>
          </wp:inline>
        </w:drawing>
      </w:r>
      <w:r>
        <w:rPr>
          <w:sz w:val="20"/>
        </w:rPr>
      </w:r>
    </w:p>
    <w:p>
      <w:pPr>
        <w:spacing w:line="235" w:lineRule="auto" w:before="153"/>
        <w:ind w:left="2237" w:right="720" w:hanging="1100"/>
        <w:jc w:val="left"/>
        <w:rPr>
          <w:rFonts w:ascii="Lucida Sans Unicode"/>
          <w:sz w:val="22"/>
        </w:rPr>
      </w:pPr>
      <w:bookmarkStart w:name="_bookmark70" w:id="71"/>
      <w:bookmarkEnd w:id="71"/>
      <w:r>
        <w:rPr/>
      </w:r>
      <w:r>
        <w:rPr>
          <w:rFonts w:ascii="Tahoma"/>
          <w:b/>
          <w:sz w:val="22"/>
        </w:rPr>
        <w:t>Gambar</w:t>
      </w:r>
      <w:r>
        <w:rPr>
          <w:rFonts w:ascii="Tahoma"/>
          <w:b/>
          <w:spacing w:val="-9"/>
          <w:sz w:val="22"/>
        </w:rPr>
        <w:t> </w:t>
      </w:r>
      <w:r>
        <w:rPr>
          <w:rFonts w:ascii="Tahoma"/>
          <w:b/>
          <w:sz w:val="22"/>
        </w:rPr>
        <w:t>17</w:t>
      </w:r>
      <w:r>
        <w:rPr>
          <w:rFonts w:ascii="Lucida Sans Unicode"/>
          <w:sz w:val="22"/>
        </w:rPr>
        <w:t>. Sumur Minyak dan Wilayah Kerja MIGAS Kab. Kutai Kartanegara yang masuk ke Kawasan IKN</w:t>
      </w:r>
    </w:p>
    <w:p>
      <w:pPr>
        <w:pStyle w:val="BodyText"/>
        <w:spacing w:before="326"/>
        <w:jc w:val="left"/>
        <w:rPr>
          <w:rFonts w:ascii="Lucida Sans Unicode"/>
          <w:sz w:val="22"/>
        </w:rPr>
      </w:pPr>
    </w:p>
    <w:p>
      <w:pPr>
        <w:pStyle w:val="BodyText"/>
        <w:spacing w:line="360" w:lineRule="auto"/>
        <w:ind w:left="1843" w:right="700"/>
      </w:pPr>
      <w:r>
        <w:rPr/>
        <w:t>Sebagai wilayah yang kaya akan sumber daya alam, terutama minyak</w:t>
      </w:r>
      <w:r>
        <w:rPr>
          <w:spacing w:val="-15"/>
        </w:rPr>
        <w:t> </w:t>
      </w:r>
      <w:r>
        <w:rPr/>
        <w:t>dan</w:t>
      </w:r>
      <w:r>
        <w:rPr>
          <w:spacing w:val="-16"/>
        </w:rPr>
        <w:t> </w:t>
      </w:r>
      <w:r>
        <w:rPr/>
        <w:t>gas,</w:t>
      </w:r>
      <w:r>
        <w:rPr>
          <w:spacing w:val="-15"/>
        </w:rPr>
        <w:t> </w:t>
      </w:r>
      <w:r>
        <w:rPr/>
        <w:t>Kabupaten</w:t>
      </w:r>
      <w:r>
        <w:rPr>
          <w:spacing w:val="-17"/>
        </w:rPr>
        <w:t> </w:t>
      </w:r>
      <w:r>
        <w:rPr/>
        <w:t>Kutai</w:t>
      </w:r>
      <w:r>
        <w:rPr>
          <w:spacing w:val="-15"/>
        </w:rPr>
        <w:t> </w:t>
      </w:r>
      <w:r>
        <w:rPr/>
        <w:t>Kartanegara</w:t>
      </w:r>
      <w:r>
        <w:rPr>
          <w:spacing w:val="-12"/>
        </w:rPr>
        <w:t> </w:t>
      </w:r>
      <w:r>
        <w:rPr/>
        <w:t>memiliki</w:t>
      </w:r>
      <w:r>
        <w:rPr>
          <w:spacing w:val="-16"/>
        </w:rPr>
        <w:t> </w:t>
      </w:r>
      <w:r>
        <w:rPr/>
        <w:t>dampak positif dan tantangan tersendiri dalam sektor Migas. Hasil survey lapangan (2023) mengungkapkan bahwa aktivitas pertambangan batubara di Kabupaten Kutai Kartanegara menjadi salah satu aktivitas utama perekonomian bersama dengan sektor Migas (Gambar 18). Dari sudut pandang perekonomian, tentu akan terjadi potensi kehilangan pendapatan bagi daerah Kabupaten Kutai Kartanegara karena berkurangnya wilayah berpotensi SDA yang dapat dikelola.</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5"/>
      </w:pPr>
      <w:r>
        <w:rPr/>
        <w:t>Sejalan dengan hal tersebut, dari sudut pandang lingkungan, peningkatan aktivitas industri, termasuk pertambangan dan migas, dapat meningkatkan dampak lingkungan. Polusi air, tanah, dan udara dari aktivitas ini dapat meningkat, memerlukan tindakan mitigasi yang efektif untuk mencegah kerusakan lingkungan.</w:t>
      </w:r>
    </w:p>
    <w:p>
      <w:pPr>
        <w:pStyle w:val="BodyText"/>
        <w:spacing w:before="160"/>
        <w:jc w:val="left"/>
        <w:rPr>
          <w:sz w:val="20"/>
        </w:rPr>
      </w:pPr>
      <w:r>
        <w:rPr>
          <w:sz w:val="20"/>
        </w:rPr>
        <mc:AlternateContent>
          <mc:Choice Requires="wps">
            <w:drawing>
              <wp:anchor distT="0" distB="0" distL="0" distR="0" allowOverlap="1" layoutInCell="1" locked="0" behindDoc="1" simplePos="0" relativeHeight="487593984">
                <wp:simplePos x="0" y="0"/>
                <wp:positionH relativeFrom="page">
                  <wp:posOffset>1513205</wp:posOffset>
                </wp:positionH>
                <wp:positionV relativeFrom="paragraph">
                  <wp:posOffset>286150</wp:posOffset>
                </wp:positionV>
                <wp:extent cx="4803775" cy="335343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4803775" cy="3353435"/>
                          <a:chExt cx="4803775" cy="3353435"/>
                        </a:xfrm>
                      </wpg:grpSpPr>
                      <pic:pic>
                        <pic:nvPicPr>
                          <pic:cNvPr id="37" name="Image 37"/>
                          <pic:cNvPicPr/>
                        </pic:nvPicPr>
                        <pic:blipFill>
                          <a:blip r:embed="rId24" cstate="print"/>
                          <a:stretch>
                            <a:fillRect/>
                          </a:stretch>
                        </pic:blipFill>
                        <pic:spPr>
                          <a:xfrm>
                            <a:off x="0" y="0"/>
                            <a:ext cx="2369820" cy="1906905"/>
                          </a:xfrm>
                          <a:prstGeom prst="rect">
                            <a:avLst/>
                          </a:prstGeom>
                        </pic:spPr>
                      </pic:pic>
                      <pic:pic>
                        <pic:nvPicPr>
                          <pic:cNvPr id="38" name="Image 38"/>
                          <pic:cNvPicPr/>
                        </pic:nvPicPr>
                        <pic:blipFill>
                          <a:blip r:embed="rId25" cstate="print"/>
                          <a:stretch>
                            <a:fillRect/>
                          </a:stretch>
                        </pic:blipFill>
                        <pic:spPr>
                          <a:xfrm>
                            <a:off x="2433954" y="0"/>
                            <a:ext cx="2369819" cy="1906905"/>
                          </a:xfrm>
                          <a:prstGeom prst="rect">
                            <a:avLst/>
                          </a:prstGeom>
                        </pic:spPr>
                      </pic:pic>
                      <pic:pic>
                        <pic:nvPicPr>
                          <pic:cNvPr id="39" name="Image 39"/>
                          <pic:cNvPicPr/>
                        </pic:nvPicPr>
                        <pic:blipFill>
                          <a:blip r:embed="rId26" cstate="print"/>
                          <a:stretch>
                            <a:fillRect/>
                          </a:stretch>
                        </pic:blipFill>
                        <pic:spPr>
                          <a:xfrm>
                            <a:off x="1402080" y="1917064"/>
                            <a:ext cx="1929130" cy="1436369"/>
                          </a:xfrm>
                          <a:prstGeom prst="rect">
                            <a:avLst/>
                          </a:prstGeom>
                        </pic:spPr>
                      </pic:pic>
                    </wpg:wgp>
                  </a:graphicData>
                </a:graphic>
              </wp:anchor>
            </w:drawing>
          </mc:Choice>
          <mc:Fallback>
            <w:pict>
              <v:group style="position:absolute;margin-left:119.150002pt;margin-top:22.531563pt;width:378.25pt;height:264.05pt;mso-position-horizontal-relative:page;mso-position-vertical-relative:paragraph;z-index:-15722496;mso-wrap-distance-left:0;mso-wrap-distance-right:0" id="docshapegroup21" coordorigin="2383,451" coordsize="7565,5281">
                <v:shape style="position:absolute;left:2383;top:450;width:3732;height:3003" type="#_x0000_t75" id="docshape22" stroked="false">
                  <v:imagedata r:id="rId24" o:title=""/>
                </v:shape>
                <v:shape style="position:absolute;left:6216;top:450;width:3732;height:3003" type="#_x0000_t75" id="docshape23" stroked="false">
                  <v:imagedata r:id="rId25" o:title=""/>
                </v:shape>
                <v:shape style="position:absolute;left:4591;top:3469;width:3038;height:2262" type="#_x0000_t75" id="docshape24" stroked="false">
                  <v:imagedata r:id="rId26" o:title=""/>
                </v:shape>
                <w10:wrap type="topAndBottom"/>
              </v:group>
            </w:pict>
          </mc:Fallback>
        </mc:AlternateContent>
      </w:r>
    </w:p>
    <w:p>
      <w:pPr>
        <w:pStyle w:val="BodyText"/>
        <w:spacing w:before="53"/>
        <w:jc w:val="left"/>
      </w:pPr>
    </w:p>
    <w:p>
      <w:pPr>
        <w:spacing w:line="235" w:lineRule="auto" w:before="0"/>
        <w:ind w:left="3841" w:right="600" w:hanging="2704"/>
        <w:jc w:val="left"/>
        <w:rPr>
          <w:rFonts w:ascii="Lucida Sans Unicode"/>
          <w:sz w:val="22"/>
        </w:rPr>
      </w:pPr>
      <w:bookmarkStart w:name="_bookmark71" w:id="72"/>
      <w:bookmarkEnd w:id="72"/>
      <w:r>
        <w:rPr/>
      </w:r>
      <w:r>
        <w:rPr>
          <w:rFonts w:ascii="Tahoma"/>
          <w:b/>
          <w:sz w:val="22"/>
        </w:rPr>
        <w:t>Gambar</w:t>
      </w:r>
      <w:r>
        <w:rPr>
          <w:rFonts w:ascii="Tahoma"/>
          <w:b/>
          <w:spacing w:val="-1"/>
          <w:sz w:val="22"/>
        </w:rPr>
        <w:t> </w:t>
      </w:r>
      <w:r>
        <w:rPr>
          <w:rFonts w:ascii="Tahoma"/>
          <w:b/>
          <w:sz w:val="22"/>
        </w:rPr>
        <w:t>18. </w:t>
      </w:r>
      <w:r>
        <w:rPr>
          <w:rFonts w:ascii="Lucida Sans Unicode"/>
          <w:sz w:val="22"/>
        </w:rPr>
        <w:t>Aktivitas Tambang dan MIGAS di Kabupaten Kutai </w:t>
      </w:r>
      <w:r>
        <w:rPr>
          <w:rFonts w:ascii="Lucida Sans Unicode"/>
          <w:spacing w:val="-2"/>
          <w:sz w:val="22"/>
        </w:rPr>
        <w:t>Kartanegara</w:t>
      </w:r>
    </w:p>
    <w:p>
      <w:pPr>
        <w:pStyle w:val="BodyText"/>
        <w:spacing w:before="326"/>
        <w:jc w:val="left"/>
        <w:rPr>
          <w:rFonts w:ascii="Lucida Sans Unicode"/>
          <w:sz w:val="22"/>
        </w:rPr>
      </w:pPr>
    </w:p>
    <w:p>
      <w:pPr>
        <w:pStyle w:val="BodyText"/>
        <w:spacing w:line="360" w:lineRule="auto"/>
        <w:ind w:left="1843" w:right="705"/>
      </w:pPr>
      <w:r>
        <w:rPr/>
        <w:t>Selain</w:t>
      </w:r>
      <w:r>
        <w:rPr>
          <w:spacing w:val="-17"/>
        </w:rPr>
        <w:t> </w:t>
      </w:r>
      <w:r>
        <w:rPr/>
        <w:t>dampak</w:t>
      </w:r>
      <w:r>
        <w:rPr>
          <w:spacing w:val="-16"/>
        </w:rPr>
        <w:t> </w:t>
      </w:r>
      <w:r>
        <w:rPr/>
        <w:t>terhadap</w:t>
      </w:r>
      <w:r>
        <w:rPr>
          <w:spacing w:val="-17"/>
        </w:rPr>
        <w:t> </w:t>
      </w:r>
      <w:r>
        <w:rPr/>
        <w:t>potensi</w:t>
      </w:r>
      <w:r>
        <w:rPr>
          <w:spacing w:val="-16"/>
        </w:rPr>
        <w:t> </w:t>
      </w:r>
      <w:r>
        <w:rPr/>
        <w:t>sumberdaya</w:t>
      </w:r>
      <w:r>
        <w:rPr>
          <w:spacing w:val="-17"/>
        </w:rPr>
        <w:t> </w:t>
      </w:r>
      <w:r>
        <w:rPr/>
        <w:t>alam,</w:t>
      </w:r>
      <w:r>
        <w:rPr>
          <w:spacing w:val="-16"/>
        </w:rPr>
        <w:t> </w:t>
      </w:r>
      <w:r>
        <w:rPr/>
        <w:t>terdapat</w:t>
      </w:r>
      <w:r>
        <w:rPr>
          <w:spacing w:val="-17"/>
        </w:rPr>
        <w:t> </w:t>
      </w:r>
      <w:r>
        <w:rPr/>
        <w:t>hal lain yang mungkin tidak terlihat secara besar dampaknya bagi pendapatan daerah namun menjadi kebimbangan bagi Masyarakat Kabupaten Kutai Kartanegara. Masuknya lokasi perusahaan tambang dan Migas ke IKN memerlukan pendefinisian regulasi, salah satunya terkait</w:t>
      </w:r>
      <w:r>
        <w:rPr>
          <w:spacing w:val="40"/>
        </w:rPr>
        <w:t> </w:t>
      </w:r>
      <w:r>
        <w:rPr/>
        <w:t>kegiatan CSR</w:t>
      </w:r>
    </w:p>
    <w:p>
      <w:pPr>
        <w:pStyle w:val="BodyText"/>
        <w:spacing w:after="0" w:line="360" w:lineRule="auto"/>
        <w:sectPr>
          <w:pgSz w:w="11910" w:h="16840"/>
          <w:pgMar w:header="0" w:footer="1186" w:top="1580" w:bottom="1380" w:left="1700" w:right="992"/>
        </w:sectPr>
      </w:pPr>
    </w:p>
    <w:p>
      <w:pPr>
        <w:pStyle w:val="BodyText"/>
        <w:spacing w:line="360" w:lineRule="auto" w:before="82" w:after="3"/>
        <w:ind w:left="1843" w:right="699"/>
      </w:pPr>
      <w:r>
        <w:rPr/>
        <w:t>(</w:t>
      </w:r>
      <w:r>
        <w:rPr>
          <w:i/>
        </w:rPr>
        <w:t>Corporate Social Responsibility</w:t>
      </w:r>
      <w:r>
        <w:rPr/>
        <w:t>) Perusahaan eksisting saat ini sudah</w:t>
      </w:r>
      <w:r>
        <w:rPr>
          <w:spacing w:val="-17"/>
        </w:rPr>
        <w:t> </w:t>
      </w:r>
      <w:r>
        <w:rPr/>
        <w:t>berkontribusi</w:t>
      </w:r>
      <w:r>
        <w:rPr>
          <w:spacing w:val="-16"/>
        </w:rPr>
        <w:t> </w:t>
      </w:r>
      <w:r>
        <w:rPr/>
        <w:t>kepada</w:t>
      </w:r>
      <w:r>
        <w:rPr>
          <w:spacing w:val="-14"/>
        </w:rPr>
        <w:t> </w:t>
      </w:r>
      <w:r>
        <w:rPr/>
        <w:t>perekonomian</w:t>
      </w:r>
      <w:r>
        <w:rPr>
          <w:spacing w:val="-17"/>
        </w:rPr>
        <w:t> </w:t>
      </w:r>
      <w:r>
        <w:rPr/>
        <w:t>masyarakat.Sebagai contoh, di</w:t>
      </w:r>
      <w:r>
        <w:rPr>
          <w:spacing w:val="-1"/>
        </w:rPr>
        <w:t> </w:t>
      </w:r>
      <w:r>
        <w:rPr/>
        <w:t>Kecamatan</w:t>
      </w:r>
      <w:r>
        <w:rPr>
          <w:spacing w:val="-2"/>
        </w:rPr>
        <w:t> </w:t>
      </w:r>
      <w:r>
        <w:rPr/>
        <w:t>Samboja, PT. SingLurus Pratamamemiliki program CSR dalam bentuk binaan perikanan budidaya bagi Masyarakat (Gambar 19) dalam bentuk Kelompok Usaha Bersama (KUB) yang berkontribusi pada perekonomian masyarakat setempat. Hal mikro seperti ini yang</w:t>
      </w:r>
      <w:r>
        <w:rPr>
          <w:spacing w:val="-17"/>
        </w:rPr>
        <w:t> </w:t>
      </w:r>
      <w:r>
        <w:rPr/>
        <w:t>juga perlu dipertimbangkan</w:t>
      </w:r>
      <w:r>
        <w:rPr>
          <w:spacing w:val="-12"/>
        </w:rPr>
        <w:t> </w:t>
      </w:r>
      <w:r>
        <w:rPr/>
        <w:t>dalam</w:t>
      </w:r>
      <w:r>
        <w:rPr>
          <w:spacing w:val="-11"/>
        </w:rPr>
        <w:t> </w:t>
      </w:r>
      <w:r>
        <w:rPr/>
        <w:t>menyusun</w:t>
      </w:r>
      <w:r>
        <w:rPr>
          <w:spacing w:val="-12"/>
        </w:rPr>
        <w:t> </w:t>
      </w:r>
      <w:r>
        <w:rPr/>
        <w:t>kebijakan</w:t>
      </w:r>
      <w:r>
        <w:rPr>
          <w:spacing w:val="-12"/>
        </w:rPr>
        <w:t> </w:t>
      </w:r>
      <w:r>
        <w:rPr/>
        <w:t>bagi</w:t>
      </w:r>
      <w:r>
        <w:rPr>
          <w:spacing w:val="-4"/>
        </w:rPr>
        <w:t> </w:t>
      </w:r>
      <w:r>
        <w:rPr/>
        <w:t>daerah</w:t>
      </w:r>
      <w:r>
        <w:rPr>
          <w:spacing w:val="-12"/>
        </w:rPr>
        <w:t> </w:t>
      </w:r>
      <w:r>
        <w:rPr/>
        <w:t>mitra </w:t>
      </w:r>
      <w:r>
        <w:rPr>
          <w:spacing w:val="-4"/>
        </w:rPr>
        <w:t>IKN.</w:t>
      </w:r>
    </w:p>
    <w:p>
      <w:pPr>
        <w:pStyle w:val="BodyText"/>
        <w:ind w:left="615"/>
        <w:jc w:val="left"/>
        <w:rPr>
          <w:sz w:val="20"/>
        </w:rPr>
      </w:pPr>
      <w:r>
        <w:rPr>
          <w:sz w:val="20"/>
        </w:rPr>
        <w:drawing>
          <wp:inline distT="0" distB="0" distL="0" distR="0">
            <wp:extent cx="5074423" cy="2847975"/>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7" cstate="print"/>
                    <a:stretch>
                      <a:fillRect/>
                    </a:stretch>
                  </pic:blipFill>
                  <pic:spPr>
                    <a:xfrm>
                      <a:off x="0" y="0"/>
                      <a:ext cx="5074423" cy="2847975"/>
                    </a:xfrm>
                    <a:prstGeom prst="rect">
                      <a:avLst/>
                    </a:prstGeom>
                  </pic:spPr>
                </pic:pic>
              </a:graphicData>
            </a:graphic>
          </wp:inline>
        </w:drawing>
      </w:r>
      <w:r>
        <w:rPr>
          <w:sz w:val="20"/>
        </w:rPr>
      </w:r>
    </w:p>
    <w:p>
      <w:pPr>
        <w:spacing w:line="235" w:lineRule="auto" w:before="161"/>
        <w:ind w:left="2266" w:right="720" w:hanging="1522"/>
        <w:jc w:val="left"/>
        <w:rPr>
          <w:rFonts w:ascii="Lucida Sans Unicode"/>
          <w:sz w:val="22"/>
        </w:rPr>
      </w:pPr>
      <w:bookmarkStart w:name="_bookmark72" w:id="73"/>
      <w:bookmarkEnd w:id="73"/>
      <w:r>
        <w:rPr/>
      </w:r>
      <w:r>
        <w:rPr>
          <w:rFonts w:ascii="Tahoma"/>
          <w:b/>
          <w:w w:val="105"/>
          <w:sz w:val="22"/>
        </w:rPr>
        <w:t>Gambar</w:t>
      </w:r>
      <w:r>
        <w:rPr>
          <w:rFonts w:ascii="Tahoma"/>
          <w:b/>
          <w:spacing w:val="-6"/>
          <w:w w:val="105"/>
          <w:sz w:val="22"/>
        </w:rPr>
        <w:t> </w:t>
      </w:r>
      <w:r>
        <w:rPr>
          <w:rFonts w:ascii="Tahoma"/>
          <w:b/>
          <w:w w:val="105"/>
          <w:sz w:val="22"/>
        </w:rPr>
        <w:t>19.</w:t>
      </w:r>
      <w:r>
        <w:rPr>
          <w:rFonts w:ascii="Tahoma"/>
          <w:b/>
          <w:spacing w:val="-4"/>
          <w:w w:val="105"/>
          <w:sz w:val="22"/>
        </w:rPr>
        <w:t> </w:t>
      </w:r>
      <w:r>
        <w:rPr>
          <w:rFonts w:ascii="Lucida Sans Unicode"/>
          <w:w w:val="105"/>
          <w:sz w:val="22"/>
        </w:rPr>
        <w:t>Kelompok</w:t>
      </w:r>
      <w:r>
        <w:rPr>
          <w:rFonts w:ascii="Lucida Sans Unicode"/>
          <w:spacing w:val="-8"/>
          <w:w w:val="105"/>
          <w:sz w:val="22"/>
        </w:rPr>
        <w:t> </w:t>
      </w:r>
      <w:r>
        <w:rPr>
          <w:rFonts w:ascii="Lucida Sans Unicode"/>
          <w:w w:val="105"/>
          <w:sz w:val="22"/>
        </w:rPr>
        <w:t>Usaha</w:t>
      </w:r>
      <w:r>
        <w:rPr>
          <w:rFonts w:ascii="Lucida Sans Unicode"/>
          <w:spacing w:val="-10"/>
          <w:w w:val="105"/>
          <w:sz w:val="22"/>
        </w:rPr>
        <w:t> </w:t>
      </w:r>
      <w:r>
        <w:rPr>
          <w:rFonts w:ascii="Lucida Sans Unicode"/>
          <w:w w:val="105"/>
          <w:sz w:val="22"/>
        </w:rPr>
        <w:t>Bersama</w:t>
      </w:r>
      <w:r>
        <w:rPr>
          <w:rFonts w:ascii="Lucida Sans Unicode"/>
          <w:spacing w:val="-10"/>
          <w:w w:val="105"/>
          <w:sz w:val="22"/>
        </w:rPr>
        <w:t> </w:t>
      </w:r>
      <w:r>
        <w:rPr>
          <w:rFonts w:ascii="Lucida Sans Unicode"/>
          <w:w w:val="105"/>
          <w:sz w:val="22"/>
        </w:rPr>
        <w:t>binaan</w:t>
      </w:r>
      <w:r>
        <w:rPr>
          <w:rFonts w:ascii="Lucida Sans Unicode"/>
          <w:spacing w:val="-7"/>
          <w:w w:val="105"/>
          <w:sz w:val="22"/>
        </w:rPr>
        <w:t> </w:t>
      </w:r>
      <w:r>
        <w:rPr>
          <w:rFonts w:ascii="Lucida Sans Unicode"/>
          <w:w w:val="105"/>
          <w:sz w:val="22"/>
        </w:rPr>
        <w:t>perusahaan</w:t>
      </w:r>
      <w:r>
        <w:rPr>
          <w:rFonts w:ascii="Lucida Sans Unicode"/>
          <w:spacing w:val="-7"/>
          <w:w w:val="105"/>
          <w:sz w:val="22"/>
        </w:rPr>
        <w:t> </w:t>
      </w:r>
      <w:r>
        <w:rPr>
          <w:rFonts w:ascii="Lucida Sans Unicode"/>
          <w:w w:val="105"/>
          <w:sz w:val="22"/>
        </w:rPr>
        <w:t>tambang terbesar di Kabupaten Kutai Kartanegara</w:t>
      </w:r>
    </w:p>
    <w:p>
      <w:pPr>
        <w:pStyle w:val="BodyText"/>
        <w:spacing w:before="326"/>
        <w:jc w:val="left"/>
        <w:rPr>
          <w:rFonts w:ascii="Lucida Sans Unicode"/>
          <w:sz w:val="22"/>
        </w:rPr>
      </w:pPr>
    </w:p>
    <w:p>
      <w:pPr>
        <w:pStyle w:val="BodyText"/>
        <w:spacing w:line="360" w:lineRule="auto"/>
        <w:ind w:left="1843" w:right="705"/>
      </w:pPr>
      <w:r>
        <w:rPr/>
        <w:t>Namun demikian, dari segi kewenangan pemeliharaan lingkungan, adanya zonasi IKN turut memberikan interpretasi bahwa dengan masuknya area pertambangan dalam Kawasan IKN</w:t>
      </w:r>
      <w:r>
        <w:rPr>
          <w:spacing w:val="-17"/>
        </w:rPr>
        <w:t> </w:t>
      </w:r>
      <w:r>
        <w:rPr/>
        <w:t>maka</w:t>
      </w:r>
      <w:r>
        <w:rPr>
          <w:spacing w:val="-16"/>
        </w:rPr>
        <w:t> </w:t>
      </w:r>
      <w:r>
        <w:rPr/>
        <w:t>pelaksanaan</w:t>
      </w:r>
      <w:r>
        <w:rPr>
          <w:spacing w:val="-17"/>
        </w:rPr>
        <w:t> </w:t>
      </w:r>
      <w:r>
        <w:rPr/>
        <w:t>pemulihan</w:t>
      </w:r>
      <w:r>
        <w:rPr>
          <w:spacing w:val="-16"/>
        </w:rPr>
        <w:t> </w:t>
      </w:r>
      <w:r>
        <w:rPr/>
        <w:t>dan</w:t>
      </w:r>
      <w:r>
        <w:rPr>
          <w:spacing w:val="-17"/>
        </w:rPr>
        <w:t> </w:t>
      </w:r>
      <w:r>
        <w:rPr/>
        <w:t>pemeliharaan</w:t>
      </w:r>
      <w:r>
        <w:rPr>
          <w:spacing w:val="-16"/>
        </w:rPr>
        <w:t> </w:t>
      </w:r>
      <w:r>
        <w:rPr/>
        <w:t>kelestarian lingkungan khususnya kawasan ex-tambang yang menjadi wewenang pihak Otorita IKN. Lebih dari itu, dampak signifikan</w:t>
      </w:r>
    </w:p>
    <w:p>
      <w:pPr>
        <w:pStyle w:val="BodyText"/>
        <w:spacing w:after="0" w:line="360" w:lineRule="auto"/>
        <w:sectPr>
          <w:pgSz w:w="11910" w:h="16840"/>
          <w:pgMar w:header="0" w:footer="1186" w:top="1580" w:bottom="1380" w:left="1700" w:right="992"/>
        </w:sectPr>
      </w:pPr>
    </w:p>
    <w:p>
      <w:pPr>
        <w:pStyle w:val="BodyText"/>
        <w:spacing w:line="360" w:lineRule="auto" w:before="82"/>
        <w:ind w:left="1843" w:right="700"/>
      </w:pPr>
      <w:r>
        <w:rPr/>
        <w:t>terhadap kegiatan pertambangan dan minyak dan gas bumi (migas)</w:t>
      </w:r>
      <w:r>
        <w:rPr>
          <w:spacing w:val="-6"/>
        </w:rPr>
        <w:t> </w:t>
      </w:r>
      <w:r>
        <w:rPr/>
        <w:t>di</w:t>
      </w:r>
      <w:r>
        <w:rPr>
          <w:spacing w:val="-6"/>
        </w:rPr>
        <w:t> </w:t>
      </w:r>
      <w:r>
        <w:rPr/>
        <w:t>wilayah</w:t>
      </w:r>
      <w:r>
        <w:rPr>
          <w:spacing w:val="-11"/>
        </w:rPr>
        <w:t> </w:t>
      </w:r>
      <w:r>
        <w:rPr/>
        <w:t>Kabupaten</w:t>
      </w:r>
      <w:r>
        <w:rPr>
          <w:spacing w:val="-6"/>
        </w:rPr>
        <w:t> </w:t>
      </w:r>
      <w:r>
        <w:rPr/>
        <w:t>Kutai</w:t>
      </w:r>
      <w:r>
        <w:rPr>
          <w:spacing w:val="-10"/>
        </w:rPr>
        <w:t> </w:t>
      </w:r>
      <w:r>
        <w:rPr/>
        <w:t>Kartanegara</w:t>
      </w:r>
      <w:r>
        <w:rPr>
          <w:spacing w:val="-11"/>
        </w:rPr>
        <w:t> </w:t>
      </w:r>
      <w:r>
        <w:rPr/>
        <w:t>(di</w:t>
      </w:r>
      <w:r>
        <w:rPr>
          <w:spacing w:val="-10"/>
        </w:rPr>
        <w:t> </w:t>
      </w:r>
      <w:r>
        <w:rPr/>
        <w:t>luar</w:t>
      </w:r>
      <w:r>
        <w:rPr>
          <w:spacing w:val="-11"/>
        </w:rPr>
        <w:t> </w:t>
      </w:r>
      <w:r>
        <w:rPr/>
        <w:t>wilayah IKN) yang mungkin muncul akibat pembangunan kawasan IKN adalah</w:t>
      </w:r>
      <w:r>
        <w:rPr>
          <w:spacing w:val="-17"/>
        </w:rPr>
        <w:t> </w:t>
      </w:r>
      <w:r>
        <w:rPr/>
        <w:t>perbaikan</w:t>
      </w:r>
      <w:r>
        <w:rPr>
          <w:spacing w:val="-16"/>
        </w:rPr>
        <w:t> </w:t>
      </w:r>
      <w:r>
        <w:rPr/>
        <w:t>positif</w:t>
      </w:r>
      <w:r>
        <w:rPr>
          <w:spacing w:val="-17"/>
        </w:rPr>
        <w:t> </w:t>
      </w:r>
      <w:r>
        <w:rPr/>
        <w:t>bagi</w:t>
      </w:r>
      <w:r>
        <w:rPr>
          <w:spacing w:val="-16"/>
        </w:rPr>
        <w:t> </w:t>
      </w:r>
      <w:r>
        <w:rPr/>
        <w:t>daerah</w:t>
      </w:r>
      <w:r>
        <w:rPr>
          <w:spacing w:val="-17"/>
        </w:rPr>
        <w:t> </w:t>
      </w:r>
      <w:r>
        <w:rPr/>
        <w:t>mitra,</w:t>
      </w:r>
      <w:r>
        <w:rPr>
          <w:spacing w:val="-16"/>
        </w:rPr>
        <w:t> </w:t>
      </w:r>
      <w:r>
        <w:rPr/>
        <w:t>diantaranyaIntegrasi Infrastruktur (Jalan Tol, Pelabuhan, dan Sarana Prasarana </w:t>
      </w:r>
      <w:r>
        <w:rPr>
          <w:spacing w:val="-2"/>
        </w:rPr>
        <w:t>lainnya).</w:t>
      </w:r>
    </w:p>
    <w:p>
      <w:pPr>
        <w:pStyle w:val="BodyText"/>
        <w:spacing w:before="159"/>
        <w:jc w:val="left"/>
      </w:pPr>
    </w:p>
    <w:p>
      <w:pPr>
        <w:pStyle w:val="Heading2"/>
        <w:numPr>
          <w:ilvl w:val="0"/>
          <w:numId w:val="34"/>
        </w:numPr>
        <w:tabs>
          <w:tab w:pos="1842" w:val="left" w:leader="none"/>
        </w:tabs>
        <w:spacing w:line="240" w:lineRule="auto" w:before="0" w:after="0"/>
        <w:ind w:left="1842" w:right="0" w:hanging="566"/>
        <w:jc w:val="both"/>
      </w:pPr>
      <w:r>
        <w:rPr/>
        <w:t>Perkebunan &amp;</w:t>
      </w:r>
      <w:r>
        <w:rPr>
          <w:spacing w:val="2"/>
        </w:rPr>
        <w:t> </w:t>
      </w:r>
      <w:r>
        <w:rPr>
          <w:spacing w:val="-2"/>
        </w:rPr>
        <w:t>Hutan</w:t>
      </w:r>
    </w:p>
    <w:p>
      <w:pPr>
        <w:pStyle w:val="BodyText"/>
        <w:spacing w:line="360" w:lineRule="auto" w:before="161"/>
        <w:ind w:left="1843" w:right="700"/>
      </w:pPr>
      <w:r>
        <w:rPr/>
        <w:t>Berdasarkan IG terkait perkebunan dan HGU perkebunan, area perkebunan yang didominasi komoditi Sawit pada Kabupaten Kutai Kartanegara yang masuk dalam Kawasan IKN menyebar pada Kecamatan Loa Kulu, Samboja Barat, dan Samboja. Khususnya wilayah Kecamatan Loa Kulu yang masuk ke dalam delineasi Kawasan IKN hampir seluruhnya memiliki tutupan lahan vegetasi yakni perkebunan (Gambar 20). Apabila melihat informasi atribut data spasial HGU Perkebunan yang diperoleh dari Dinas Pertanahan dan Penataan Ruang (Survey Lapangan, 2023)</w:t>
      </w:r>
      <w:r>
        <w:rPr>
          <w:spacing w:val="-3"/>
        </w:rPr>
        <w:t> </w:t>
      </w:r>
      <w:r>
        <w:rPr/>
        <w:t>ditemukan</w:t>
      </w:r>
      <w:r>
        <w:rPr>
          <w:spacing w:val="-5"/>
        </w:rPr>
        <w:t> </w:t>
      </w:r>
      <w:r>
        <w:rPr/>
        <w:t>43</w:t>
      </w:r>
      <w:r>
        <w:rPr>
          <w:spacing w:val="-3"/>
        </w:rPr>
        <w:t> </w:t>
      </w:r>
      <w:r>
        <w:rPr/>
        <w:t>blok</w:t>
      </w:r>
      <w:r>
        <w:rPr>
          <w:spacing w:val="-3"/>
        </w:rPr>
        <w:t> </w:t>
      </w:r>
      <w:r>
        <w:rPr/>
        <w:t>HGU</w:t>
      </w:r>
      <w:r>
        <w:rPr>
          <w:spacing w:val="-5"/>
        </w:rPr>
        <w:t> </w:t>
      </w:r>
      <w:r>
        <w:rPr/>
        <w:t>Perkebunan</w:t>
      </w:r>
      <w:r>
        <w:rPr>
          <w:spacing w:val="-5"/>
        </w:rPr>
        <w:t> </w:t>
      </w:r>
      <w:r>
        <w:rPr/>
        <w:t>yang</w:t>
      </w:r>
      <w:r>
        <w:rPr>
          <w:spacing w:val="-5"/>
        </w:rPr>
        <w:t> </w:t>
      </w:r>
      <w:r>
        <w:rPr/>
        <w:t>berstatus</w:t>
      </w:r>
      <w:r>
        <w:rPr>
          <w:spacing w:val="-4"/>
        </w:rPr>
        <w:t> </w:t>
      </w:r>
      <w:r>
        <w:rPr/>
        <w:t>aktif dengan waktu berlaku perijinan hingga 2044.</w:t>
      </w:r>
    </w:p>
    <w:p>
      <w:pPr>
        <w:pStyle w:val="BodyText"/>
        <w:spacing w:before="166"/>
        <w:jc w:val="left"/>
      </w:pPr>
    </w:p>
    <w:p>
      <w:pPr>
        <w:pStyle w:val="BodyText"/>
        <w:spacing w:line="360" w:lineRule="auto"/>
        <w:ind w:left="1843" w:right="696"/>
      </w:pPr>
      <w:r>
        <w:rPr/>
        <w:t>Dengan melakukan analisis tumpang susun dengan data kawasan hutan, diperoleh informasi bahwa &gt; 90% luas kecamatan Loa Kulu yang masuk ke dalam Kawasan IKN dan Kawasan Pengembangan IKN berstatus Hutan Produksi. Di dalam delineasi Kawasan IKN pada Kabupaten Kutai Kartanegara terdapat 2 lokasi berstatus IUPHHK HTI (Gambar 21) yakni di Kecamatan Loa Kulu (PT. ITCI Hutan Manunggal) dan Samboja Barat (PT. INHUTANI I Batu Ampar).</w:t>
      </w:r>
    </w:p>
    <w:p>
      <w:pPr>
        <w:pStyle w:val="BodyText"/>
        <w:spacing w:after="0" w:line="360" w:lineRule="auto"/>
        <w:sectPr>
          <w:pgSz w:w="11910" w:h="16840"/>
          <w:pgMar w:header="0" w:footer="1186" w:top="1580" w:bottom="1380" w:left="1700" w:right="992"/>
        </w:sectPr>
      </w:pPr>
    </w:p>
    <w:p>
      <w:pPr>
        <w:pStyle w:val="BodyText"/>
        <w:ind w:left="568"/>
        <w:jc w:val="left"/>
        <w:rPr>
          <w:sz w:val="20"/>
        </w:rPr>
      </w:pPr>
      <w:r>
        <w:rPr>
          <w:sz w:val="20"/>
        </w:rPr>
        <w:drawing>
          <wp:inline distT="0" distB="0" distL="0" distR="0">
            <wp:extent cx="5063283" cy="3552825"/>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8" cstate="print"/>
                    <a:stretch>
                      <a:fillRect/>
                    </a:stretch>
                  </pic:blipFill>
                  <pic:spPr>
                    <a:xfrm>
                      <a:off x="0" y="0"/>
                      <a:ext cx="5063283" cy="3552825"/>
                    </a:xfrm>
                    <a:prstGeom prst="rect">
                      <a:avLst/>
                    </a:prstGeom>
                  </pic:spPr>
                </pic:pic>
              </a:graphicData>
            </a:graphic>
          </wp:inline>
        </w:drawing>
      </w:r>
      <w:r>
        <w:rPr>
          <w:sz w:val="20"/>
        </w:rPr>
      </w:r>
    </w:p>
    <w:p>
      <w:pPr>
        <w:spacing w:before="143"/>
        <w:ind w:left="1661" w:right="0" w:firstLine="0"/>
        <w:jc w:val="left"/>
        <w:rPr>
          <w:rFonts w:ascii="Lucida Sans Unicode"/>
          <w:sz w:val="22"/>
        </w:rPr>
      </w:pPr>
      <w:bookmarkStart w:name="_bookmark73" w:id="74"/>
      <w:bookmarkEnd w:id="74"/>
      <w:r>
        <w:rPr/>
      </w:r>
      <w:r>
        <w:rPr>
          <w:rFonts w:ascii="Tahoma"/>
          <w:b/>
          <w:sz w:val="22"/>
        </w:rPr>
        <w:t>Gambar</w:t>
      </w:r>
      <w:r>
        <w:rPr>
          <w:rFonts w:ascii="Tahoma"/>
          <w:b/>
          <w:spacing w:val="-1"/>
          <w:sz w:val="22"/>
        </w:rPr>
        <w:t> </w:t>
      </w:r>
      <w:r>
        <w:rPr>
          <w:rFonts w:ascii="Tahoma"/>
          <w:b/>
          <w:sz w:val="22"/>
        </w:rPr>
        <w:t>20.</w:t>
      </w:r>
      <w:r>
        <w:rPr>
          <w:rFonts w:ascii="Tahoma"/>
          <w:b/>
          <w:spacing w:val="20"/>
          <w:sz w:val="22"/>
        </w:rPr>
        <w:t> </w:t>
      </w:r>
      <w:r>
        <w:rPr>
          <w:rFonts w:ascii="Lucida Sans Unicode"/>
          <w:sz w:val="22"/>
        </w:rPr>
        <w:t>Area</w:t>
      </w:r>
      <w:r>
        <w:rPr>
          <w:rFonts w:ascii="Lucida Sans Unicode"/>
          <w:spacing w:val="15"/>
          <w:sz w:val="22"/>
        </w:rPr>
        <w:t> </w:t>
      </w:r>
      <w:r>
        <w:rPr>
          <w:rFonts w:ascii="Lucida Sans Unicode"/>
          <w:sz w:val="22"/>
        </w:rPr>
        <w:t>perkebunan</w:t>
      </w:r>
      <w:r>
        <w:rPr>
          <w:rFonts w:ascii="Lucida Sans Unicode"/>
          <w:spacing w:val="15"/>
          <w:sz w:val="22"/>
        </w:rPr>
        <w:t> </w:t>
      </w:r>
      <w:r>
        <w:rPr>
          <w:rFonts w:ascii="Lucida Sans Unicode"/>
          <w:sz w:val="22"/>
        </w:rPr>
        <w:t>dan</w:t>
      </w:r>
      <w:r>
        <w:rPr>
          <w:rFonts w:ascii="Lucida Sans Unicode"/>
          <w:spacing w:val="14"/>
          <w:sz w:val="22"/>
        </w:rPr>
        <w:t> </w:t>
      </w:r>
      <w:r>
        <w:rPr>
          <w:rFonts w:ascii="Lucida Sans Unicode"/>
          <w:sz w:val="22"/>
        </w:rPr>
        <w:t>lokasi</w:t>
      </w:r>
      <w:r>
        <w:rPr>
          <w:rFonts w:ascii="Lucida Sans Unicode"/>
          <w:spacing w:val="15"/>
          <w:sz w:val="22"/>
        </w:rPr>
        <w:t> </w:t>
      </w:r>
      <w:r>
        <w:rPr>
          <w:rFonts w:ascii="Lucida Sans Unicode"/>
          <w:sz w:val="22"/>
        </w:rPr>
        <w:t>HGU</w:t>
      </w:r>
      <w:r>
        <w:rPr>
          <w:rFonts w:ascii="Lucida Sans Unicode"/>
          <w:spacing w:val="18"/>
          <w:sz w:val="22"/>
        </w:rPr>
        <w:t> </w:t>
      </w:r>
      <w:r>
        <w:rPr>
          <w:rFonts w:ascii="Lucida Sans Unicode"/>
          <w:spacing w:val="-2"/>
          <w:sz w:val="22"/>
        </w:rPr>
        <w:t>Kebun</w:t>
      </w:r>
    </w:p>
    <w:p>
      <w:pPr>
        <w:pStyle w:val="BodyText"/>
        <w:spacing w:before="324"/>
        <w:jc w:val="left"/>
        <w:rPr>
          <w:rFonts w:ascii="Lucida Sans Unicode"/>
          <w:sz w:val="22"/>
        </w:rPr>
      </w:pPr>
    </w:p>
    <w:p>
      <w:pPr>
        <w:pStyle w:val="BodyText"/>
        <w:spacing w:line="360" w:lineRule="auto"/>
        <w:ind w:left="1843" w:right="703"/>
      </w:pPr>
      <w:r>
        <w:rPr/>
        <w:t>Berkembangnya perkebunan kelapa sawit di Kalimantan Timur sangat erat kaitannya dengan kondisi teritorial dan geografis yang menguntungkan di wilayah tersebut. Keberadaan lahan gambut dan sungai yang luas menjamin ketersediaan air yang konsisten, yang merupakan sumber utama bagi kelapa sawit untuk mencapai produktivitas yang optimal. Namun, seperti dibanyak tempat lainnya, perkebunan kelapa sawit di Kabupaten Kutai Kartanegara memiliki dampak lingkungan yang signifikan (Risal, 2015; Utami et al., 2017). Pada lahan perkebunan sawit yang tengah beroperasi, berbagai aktivitas pemupukan, pengangkutan hasil, termasuk juga pengolahan tanah dan aktivitas lainnya, secara akumulatif akan mengakibatkan degradasi kualitas tanah, karena secara fisik akibat kegiatan tersebut mengakibatkan tanah menjadi</w:t>
      </w:r>
    </w:p>
    <w:p>
      <w:pPr>
        <w:pStyle w:val="BodyText"/>
        <w:spacing w:after="0" w:line="360" w:lineRule="auto"/>
        <w:sectPr>
          <w:pgSz w:w="11910" w:h="16840"/>
          <w:pgMar w:header="0" w:footer="1186" w:top="1660" w:bottom="1380" w:left="1700" w:right="992"/>
        </w:sectPr>
      </w:pPr>
    </w:p>
    <w:p>
      <w:pPr>
        <w:pStyle w:val="BodyText"/>
        <w:spacing w:line="360" w:lineRule="auto" w:before="82" w:after="4"/>
        <w:ind w:left="1843" w:right="705"/>
      </w:pPr>
      <w:r>
        <w:rPr/>
        <w:t>bertekstur keras, tidak mampu menyerap dan menyimpan air. Beberapa dampak yang mungkin terjadi termasuk deforestasi, emisi</w:t>
      </w:r>
      <w:r>
        <w:rPr>
          <w:spacing w:val="-1"/>
        </w:rPr>
        <w:t> </w:t>
      </w:r>
      <w:r>
        <w:rPr/>
        <w:t>Gas</w:t>
      </w:r>
      <w:r>
        <w:rPr>
          <w:spacing w:val="-2"/>
        </w:rPr>
        <w:t> </w:t>
      </w:r>
      <w:r>
        <w:rPr/>
        <w:t>Rumah</w:t>
      </w:r>
      <w:r>
        <w:rPr>
          <w:spacing w:val="-2"/>
        </w:rPr>
        <w:t> </w:t>
      </w:r>
      <w:r>
        <w:rPr/>
        <w:t>Kaca, perubahan</w:t>
      </w:r>
      <w:r>
        <w:rPr>
          <w:spacing w:val="-2"/>
        </w:rPr>
        <w:t> </w:t>
      </w:r>
      <w:r>
        <w:rPr/>
        <w:t>iklim lokal, pemicu</w:t>
      </w:r>
      <w:r>
        <w:rPr>
          <w:spacing w:val="-2"/>
        </w:rPr>
        <w:t> </w:t>
      </w:r>
      <w:r>
        <w:rPr/>
        <w:t>bencana banjir,</w:t>
      </w:r>
      <w:r>
        <w:rPr>
          <w:spacing w:val="-17"/>
        </w:rPr>
        <w:t> </w:t>
      </w:r>
      <w:r>
        <w:rPr/>
        <w:t>pencemaran</w:t>
      </w:r>
      <w:r>
        <w:rPr>
          <w:spacing w:val="-16"/>
        </w:rPr>
        <w:t> </w:t>
      </w:r>
      <w:r>
        <w:rPr/>
        <w:t>air</w:t>
      </w:r>
      <w:r>
        <w:rPr>
          <w:spacing w:val="-17"/>
        </w:rPr>
        <w:t> </w:t>
      </w:r>
      <w:r>
        <w:rPr/>
        <w:t>dan</w:t>
      </w:r>
      <w:r>
        <w:rPr>
          <w:spacing w:val="-16"/>
        </w:rPr>
        <w:t> </w:t>
      </w:r>
      <w:r>
        <w:rPr/>
        <w:t>tanah,</w:t>
      </w:r>
      <w:r>
        <w:rPr>
          <w:spacing w:val="-17"/>
        </w:rPr>
        <w:t> </w:t>
      </w:r>
      <w:r>
        <w:rPr/>
        <w:t>serta</w:t>
      </w:r>
      <w:r>
        <w:rPr>
          <w:spacing w:val="-16"/>
        </w:rPr>
        <w:t> </w:t>
      </w:r>
      <w:r>
        <w:rPr/>
        <w:t>kekeringan</w:t>
      </w:r>
      <w:r>
        <w:rPr>
          <w:spacing w:val="-16"/>
        </w:rPr>
        <w:t> </w:t>
      </w:r>
      <w:r>
        <w:rPr/>
        <w:t>dan</w:t>
      </w:r>
      <w:r>
        <w:rPr>
          <w:spacing w:val="-16"/>
        </w:rPr>
        <w:t> </w:t>
      </w:r>
      <w:r>
        <w:rPr/>
        <w:t>krisis</w:t>
      </w:r>
      <w:r>
        <w:rPr>
          <w:spacing w:val="-10"/>
        </w:rPr>
        <w:t> </w:t>
      </w:r>
      <w:r>
        <w:rPr>
          <w:spacing w:val="-4"/>
        </w:rPr>
        <w:t>air.</w:t>
      </w:r>
    </w:p>
    <w:p>
      <w:pPr>
        <w:pStyle w:val="BodyText"/>
        <w:ind w:left="568"/>
        <w:jc w:val="left"/>
        <w:rPr>
          <w:sz w:val="20"/>
        </w:rPr>
      </w:pPr>
      <w:r>
        <w:rPr>
          <w:sz w:val="20"/>
        </w:rPr>
        <w:drawing>
          <wp:inline distT="0" distB="0" distL="0" distR="0">
            <wp:extent cx="5073342" cy="3524250"/>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9" cstate="print"/>
                    <a:stretch>
                      <a:fillRect/>
                    </a:stretch>
                  </pic:blipFill>
                  <pic:spPr>
                    <a:xfrm>
                      <a:off x="0" y="0"/>
                      <a:ext cx="5073342" cy="3524250"/>
                    </a:xfrm>
                    <a:prstGeom prst="rect">
                      <a:avLst/>
                    </a:prstGeom>
                  </pic:spPr>
                </pic:pic>
              </a:graphicData>
            </a:graphic>
          </wp:inline>
        </w:drawing>
      </w:r>
      <w:r>
        <w:rPr>
          <w:sz w:val="20"/>
        </w:rPr>
      </w:r>
    </w:p>
    <w:p>
      <w:pPr>
        <w:spacing w:before="124"/>
        <w:ind w:left="1495" w:right="1628" w:firstLine="0"/>
        <w:jc w:val="center"/>
        <w:rPr>
          <w:rFonts w:ascii="Lucida Sans Unicode"/>
          <w:sz w:val="22"/>
        </w:rPr>
      </w:pPr>
      <w:bookmarkStart w:name="_bookmark74" w:id="75"/>
      <w:bookmarkEnd w:id="75"/>
      <w:r>
        <w:rPr/>
      </w:r>
      <w:r>
        <w:rPr>
          <w:rFonts w:ascii="Tahoma"/>
          <w:b/>
          <w:sz w:val="22"/>
        </w:rPr>
        <w:t>Gambar</w:t>
      </w:r>
      <w:r>
        <w:rPr>
          <w:rFonts w:ascii="Tahoma"/>
          <w:b/>
          <w:spacing w:val="3"/>
          <w:sz w:val="22"/>
        </w:rPr>
        <w:t> </w:t>
      </w:r>
      <w:r>
        <w:rPr>
          <w:rFonts w:ascii="Tahoma"/>
          <w:b/>
          <w:sz w:val="22"/>
        </w:rPr>
        <w:t>21.</w:t>
      </w:r>
      <w:r>
        <w:rPr>
          <w:rFonts w:ascii="Tahoma"/>
          <w:b/>
          <w:spacing w:val="24"/>
          <w:sz w:val="22"/>
        </w:rPr>
        <w:t> </w:t>
      </w:r>
      <w:r>
        <w:rPr>
          <w:rFonts w:ascii="Lucida Sans Unicode"/>
          <w:sz w:val="22"/>
        </w:rPr>
        <w:t>Status</w:t>
      </w:r>
      <w:r>
        <w:rPr>
          <w:rFonts w:ascii="Lucida Sans Unicode"/>
          <w:spacing w:val="19"/>
          <w:sz w:val="22"/>
        </w:rPr>
        <w:t> </w:t>
      </w:r>
      <w:r>
        <w:rPr>
          <w:rFonts w:ascii="Lucida Sans Unicode"/>
          <w:sz w:val="22"/>
        </w:rPr>
        <w:t>Kawasan</w:t>
      </w:r>
      <w:r>
        <w:rPr>
          <w:rFonts w:ascii="Lucida Sans Unicode"/>
          <w:spacing w:val="23"/>
          <w:sz w:val="22"/>
        </w:rPr>
        <w:t> </w:t>
      </w:r>
      <w:r>
        <w:rPr>
          <w:rFonts w:ascii="Lucida Sans Unicode"/>
          <w:spacing w:val="-4"/>
          <w:sz w:val="22"/>
        </w:rPr>
        <w:t>Hutan</w:t>
      </w:r>
    </w:p>
    <w:p>
      <w:pPr>
        <w:pStyle w:val="BodyText"/>
        <w:spacing w:before="320"/>
        <w:jc w:val="left"/>
        <w:rPr>
          <w:rFonts w:ascii="Lucida Sans Unicode"/>
          <w:sz w:val="22"/>
        </w:rPr>
      </w:pPr>
    </w:p>
    <w:p>
      <w:pPr>
        <w:pStyle w:val="BodyText"/>
        <w:spacing w:line="360" w:lineRule="auto"/>
        <w:ind w:left="1843" w:right="704"/>
      </w:pPr>
      <w:r>
        <w:rPr/>
        <w:t>Bagi wilayah Kutai Kartanegara, masuknya sejumlah area perkebunan, hutan lindung, hingga kawasan suaka alam dari Kabupaten Kutai Kartanegara kedalam kawasan IKN memiliki dampak lingkungan yakni pengurangan ketersediaan lahan vegetasi (hutan)</w:t>
      </w:r>
      <w:r>
        <w:rPr>
          <w:spacing w:val="-1"/>
        </w:rPr>
        <w:t> </w:t>
      </w:r>
      <w:r>
        <w:rPr/>
        <w:t>yang menjadi penghasil</w:t>
      </w:r>
      <w:r>
        <w:rPr>
          <w:spacing w:val="-1"/>
        </w:rPr>
        <w:t> </w:t>
      </w:r>
      <w:r>
        <w:rPr/>
        <w:t>oksigen</w:t>
      </w:r>
      <w:r>
        <w:rPr>
          <w:spacing w:val="-2"/>
        </w:rPr>
        <w:t> </w:t>
      </w:r>
      <w:r>
        <w:rPr/>
        <w:t>terbesar bagi makhluk hidup.</w:t>
      </w:r>
    </w:p>
    <w:p>
      <w:pPr>
        <w:pStyle w:val="BodyText"/>
        <w:spacing w:after="0" w:line="360" w:lineRule="auto"/>
        <w:sectPr>
          <w:pgSz w:w="11910" w:h="16840"/>
          <w:pgMar w:header="0" w:footer="1186" w:top="1580" w:bottom="1380" w:left="1700" w:right="992"/>
        </w:sectPr>
      </w:pPr>
    </w:p>
    <w:p>
      <w:pPr>
        <w:pStyle w:val="Heading2"/>
        <w:numPr>
          <w:ilvl w:val="2"/>
          <w:numId w:val="32"/>
        </w:numPr>
        <w:tabs>
          <w:tab w:pos="1811" w:val="left" w:leader="none"/>
        </w:tabs>
        <w:spacing w:line="240" w:lineRule="auto" w:before="79" w:after="0"/>
        <w:ind w:left="1811" w:right="0" w:hanging="611"/>
        <w:jc w:val="both"/>
      </w:pPr>
      <w:bookmarkStart w:name="_bookmark75" w:id="76"/>
      <w:bookmarkEnd w:id="76"/>
      <w:r>
        <w:rPr>
          <w:b w:val="0"/>
        </w:rPr>
      </w:r>
      <w:r>
        <w:rPr/>
        <w:t>Dampak</w:t>
      </w:r>
      <w:r>
        <w:rPr>
          <w:spacing w:val="-8"/>
        </w:rPr>
        <w:t> </w:t>
      </w:r>
      <w:r>
        <w:rPr>
          <w:spacing w:val="-2"/>
        </w:rPr>
        <w:t>Regulasi</w:t>
      </w:r>
    </w:p>
    <w:p>
      <w:pPr>
        <w:pStyle w:val="BodyText"/>
        <w:spacing w:line="360" w:lineRule="auto" w:before="228"/>
        <w:ind w:left="1276" w:right="699" w:firstLine="710"/>
      </w:pPr>
      <w:r>
        <w:rPr/>
        <w:t>Sebagaimana dalam penyusunan UU Nomor 3 Tahun 2022 tentang IKN, proses revisi UU menjadi UU Nomor 21 Tahun 2023 tetap dijalankan secara prosedural saja sifatnya dalam mendengar pendapat</w:t>
      </w:r>
      <w:r>
        <w:rPr>
          <w:spacing w:val="-14"/>
        </w:rPr>
        <w:t> </w:t>
      </w:r>
      <w:r>
        <w:rPr/>
        <w:t>daerah,</w:t>
      </w:r>
      <w:r>
        <w:rPr>
          <w:spacing w:val="-9"/>
        </w:rPr>
        <w:t> </w:t>
      </w:r>
      <w:r>
        <w:rPr/>
        <w:t>namun</w:t>
      </w:r>
      <w:r>
        <w:rPr>
          <w:spacing w:val="-16"/>
        </w:rPr>
        <w:t> </w:t>
      </w:r>
      <w:r>
        <w:rPr/>
        <w:t>tidak</w:t>
      </w:r>
      <w:r>
        <w:rPr>
          <w:spacing w:val="-10"/>
        </w:rPr>
        <w:t> </w:t>
      </w:r>
      <w:r>
        <w:rPr/>
        <w:t>ada</w:t>
      </w:r>
      <w:r>
        <w:rPr>
          <w:spacing w:val="-13"/>
        </w:rPr>
        <w:t> </w:t>
      </w:r>
      <w:r>
        <w:rPr/>
        <w:t>jaminan</w:t>
      </w:r>
      <w:r>
        <w:rPr>
          <w:spacing w:val="-12"/>
        </w:rPr>
        <w:t> </w:t>
      </w:r>
      <w:r>
        <w:rPr/>
        <w:t>masukan</w:t>
      </w:r>
      <w:r>
        <w:rPr>
          <w:spacing w:val="-11"/>
        </w:rPr>
        <w:t> </w:t>
      </w:r>
      <w:r>
        <w:rPr/>
        <w:t>daerah</w:t>
      </w:r>
      <w:r>
        <w:rPr>
          <w:spacing w:val="-16"/>
        </w:rPr>
        <w:t> </w:t>
      </w:r>
      <w:r>
        <w:rPr/>
        <w:t>diserap. Kehadiran</w:t>
      </w:r>
      <w:r>
        <w:rPr>
          <w:spacing w:val="-15"/>
        </w:rPr>
        <w:t> </w:t>
      </w:r>
      <w:r>
        <w:rPr/>
        <w:t>Pemerintah</w:t>
      </w:r>
      <w:r>
        <w:rPr>
          <w:spacing w:val="-15"/>
        </w:rPr>
        <w:t> </w:t>
      </w:r>
      <w:r>
        <w:rPr/>
        <w:t>Otorita</w:t>
      </w:r>
      <w:r>
        <w:rPr>
          <w:spacing w:val="-11"/>
        </w:rPr>
        <w:t> </w:t>
      </w:r>
      <w:r>
        <w:rPr/>
        <w:t>IKN</w:t>
      </w:r>
      <w:r>
        <w:rPr>
          <w:spacing w:val="-12"/>
        </w:rPr>
        <w:t> </w:t>
      </w:r>
      <w:r>
        <w:rPr/>
        <w:t>merupakan</w:t>
      </w:r>
      <w:r>
        <w:rPr>
          <w:spacing w:val="-11"/>
        </w:rPr>
        <w:t> </w:t>
      </w:r>
      <w:r>
        <w:rPr/>
        <w:t>anomali</w:t>
      </w:r>
      <w:r>
        <w:rPr>
          <w:spacing w:val="-10"/>
        </w:rPr>
        <w:t> </w:t>
      </w:r>
      <w:r>
        <w:rPr/>
        <w:t>sistem</w:t>
      </w:r>
      <w:r>
        <w:rPr>
          <w:spacing w:val="-10"/>
        </w:rPr>
        <w:t> </w:t>
      </w:r>
      <w:r>
        <w:rPr/>
        <w:t>politik, khususnya</w:t>
      </w:r>
      <w:r>
        <w:rPr>
          <w:spacing w:val="-1"/>
        </w:rPr>
        <w:t> </w:t>
      </w:r>
      <w:r>
        <w:rPr/>
        <w:t>sistem pemerintahan daerah di Indonesia. Sesuai dengan nomenklaturnya sekarang sebagai pengelola, bukan lagi pengguna APBN, maka kewenangan OIKN akan khusus dan besar, serta berdampak luas bagi wilayah sekitarnya, terutama yang terkena </w:t>
      </w:r>
      <w:r>
        <w:rPr>
          <w:spacing w:val="-2"/>
        </w:rPr>
        <w:t>delineasi.</w:t>
      </w:r>
    </w:p>
    <w:p>
      <w:pPr>
        <w:pStyle w:val="BodyText"/>
        <w:spacing w:line="360" w:lineRule="auto"/>
        <w:ind w:left="1276" w:right="700" w:firstLine="710"/>
      </w:pPr>
      <w:r>
        <w:rPr/>
        <w:t>Amandemen UU IKN Nomor 21 Tahun 2023 telah memberi kewenangan OIKN sebagai penyelenggara pemerintahan daerah yang berdampak kepada kewenangannya dalam anggaran, dari semula pengguna menjadi pengelola (Ditjen Perimbangan Keuangan,</w:t>
      </w:r>
      <w:r>
        <w:rPr>
          <w:spacing w:val="-13"/>
        </w:rPr>
        <w:t> </w:t>
      </w:r>
      <w:r>
        <w:rPr/>
        <w:t>Kementerian</w:t>
      </w:r>
      <w:r>
        <w:rPr>
          <w:spacing w:val="-11"/>
        </w:rPr>
        <w:t> </w:t>
      </w:r>
      <w:r>
        <w:rPr/>
        <w:t>Keuangan,</w:t>
      </w:r>
      <w:r>
        <w:rPr>
          <w:spacing w:val="-9"/>
        </w:rPr>
        <w:t> </w:t>
      </w:r>
      <w:r>
        <w:rPr/>
        <w:t>2023).</w:t>
      </w:r>
      <w:r>
        <w:rPr>
          <w:spacing w:val="-10"/>
        </w:rPr>
        <w:t> </w:t>
      </w:r>
      <w:r>
        <w:rPr/>
        <w:t>Posisi</w:t>
      </w:r>
      <w:r>
        <w:rPr>
          <w:spacing w:val="-10"/>
        </w:rPr>
        <w:t> </w:t>
      </w:r>
      <w:r>
        <w:rPr/>
        <w:t>hukum</w:t>
      </w:r>
      <w:r>
        <w:rPr>
          <w:spacing w:val="-10"/>
        </w:rPr>
        <w:t> </w:t>
      </w:r>
      <w:r>
        <w:rPr/>
        <w:t>baru</w:t>
      </w:r>
      <w:r>
        <w:rPr>
          <w:spacing w:val="-11"/>
        </w:rPr>
        <w:t> </w:t>
      </w:r>
      <w:r>
        <w:rPr/>
        <w:t>dengan pemberian kewenangan konkuren, di luar kewenangan absolut pemerintah</w:t>
      </w:r>
      <w:r>
        <w:rPr>
          <w:spacing w:val="-13"/>
        </w:rPr>
        <w:t> </w:t>
      </w:r>
      <w:r>
        <w:rPr/>
        <w:t>pusat,</w:t>
      </w:r>
      <w:r>
        <w:rPr>
          <w:spacing w:val="-6"/>
        </w:rPr>
        <w:t> </w:t>
      </w:r>
      <w:r>
        <w:rPr/>
        <w:t>akan</w:t>
      </w:r>
      <w:r>
        <w:rPr>
          <w:spacing w:val="-10"/>
        </w:rPr>
        <w:t> </w:t>
      </w:r>
      <w:r>
        <w:rPr/>
        <w:t>mempengaruhi</w:t>
      </w:r>
      <w:r>
        <w:rPr>
          <w:spacing w:val="-7"/>
        </w:rPr>
        <w:t> </w:t>
      </w:r>
      <w:r>
        <w:rPr/>
        <w:t>berbagai</w:t>
      </w:r>
      <w:r>
        <w:rPr>
          <w:spacing w:val="-7"/>
        </w:rPr>
        <w:t> </w:t>
      </w:r>
      <w:r>
        <w:rPr/>
        <w:t>pengaturan</w:t>
      </w:r>
      <w:r>
        <w:rPr>
          <w:spacing w:val="-12"/>
        </w:rPr>
        <w:t> </w:t>
      </w:r>
      <w:r>
        <w:rPr/>
        <w:t>hukum di IKN, khususnya atas pengalihan aset di wilayah yang terdelineasi. Dalam hal ini, OIKN memiliki kewenangan penuh dalam pengambilalihan aset, dan sebaliknya, posisi Pemerintah Kabupaten Kutai Kartanegara sebagai pemilik wilayah asal yang terdelineasi menjadi lemah. Perlu diantisipasi, sebagai konsekuensinya, kebutuhan pendanaan IKN yang semakin besar di masa depan, jika tidak bisa dipenuhi investor swasta nasional dan asing, dan sebaliknya,</w:t>
      </w:r>
      <w:r>
        <w:rPr>
          <w:spacing w:val="-9"/>
        </w:rPr>
        <w:t> </w:t>
      </w:r>
      <w:r>
        <w:rPr/>
        <w:t>kian</w:t>
      </w:r>
      <w:r>
        <w:rPr>
          <w:spacing w:val="-12"/>
        </w:rPr>
        <w:t> </w:t>
      </w:r>
      <w:r>
        <w:rPr/>
        <w:t>terbatasnya</w:t>
      </w:r>
      <w:r>
        <w:rPr>
          <w:spacing w:val="-12"/>
        </w:rPr>
        <w:t> </w:t>
      </w:r>
      <w:r>
        <w:rPr/>
        <w:t>dukungan</w:t>
      </w:r>
      <w:r>
        <w:rPr>
          <w:spacing w:val="-11"/>
        </w:rPr>
        <w:t> </w:t>
      </w:r>
      <w:r>
        <w:rPr/>
        <w:t>dana</w:t>
      </w:r>
      <w:r>
        <w:rPr>
          <w:spacing w:val="-13"/>
        </w:rPr>
        <w:t> </w:t>
      </w:r>
      <w:r>
        <w:rPr/>
        <w:t>APBN,</w:t>
      </w:r>
      <w:r>
        <w:rPr>
          <w:spacing w:val="-9"/>
        </w:rPr>
        <w:t> </w:t>
      </w:r>
      <w:r>
        <w:rPr/>
        <w:t>akan</w:t>
      </w:r>
      <w:r>
        <w:rPr>
          <w:spacing w:val="-12"/>
        </w:rPr>
        <w:t> </w:t>
      </w:r>
      <w:r>
        <w:rPr/>
        <w:t>mendorong sikap</w:t>
      </w:r>
      <w:r>
        <w:rPr>
          <w:spacing w:val="-17"/>
        </w:rPr>
        <w:t> </w:t>
      </w:r>
      <w:r>
        <w:rPr/>
        <w:t>OIKN</w:t>
      </w:r>
      <w:r>
        <w:rPr>
          <w:spacing w:val="-20"/>
        </w:rPr>
        <w:t> </w:t>
      </w:r>
      <w:r>
        <w:rPr/>
        <w:t>yang</w:t>
      </w:r>
      <w:r>
        <w:rPr>
          <w:spacing w:val="-16"/>
        </w:rPr>
        <w:t> </w:t>
      </w:r>
      <w:r>
        <w:rPr/>
        <w:t>agresif</w:t>
      </w:r>
      <w:r>
        <w:rPr>
          <w:spacing w:val="-17"/>
        </w:rPr>
        <w:t> </w:t>
      </w:r>
      <w:r>
        <w:rPr/>
        <w:t>dan</w:t>
      </w:r>
      <w:r>
        <w:rPr>
          <w:spacing w:val="-16"/>
        </w:rPr>
        <w:t> </w:t>
      </w:r>
      <w:r>
        <w:rPr/>
        <w:t>sulit</w:t>
      </w:r>
      <w:r>
        <w:rPr>
          <w:spacing w:val="-17"/>
        </w:rPr>
        <w:t> </w:t>
      </w:r>
      <w:r>
        <w:rPr/>
        <w:t>bernegosiasi,</w:t>
      </w:r>
      <w:r>
        <w:rPr>
          <w:spacing w:val="-16"/>
        </w:rPr>
        <w:t> </w:t>
      </w:r>
      <w:r>
        <w:rPr/>
        <w:t>apalagi</w:t>
      </w:r>
      <w:r>
        <w:rPr>
          <w:spacing w:val="-17"/>
        </w:rPr>
        <w:t> </w:t>
      </w:r>
      <w:r>
        <w:rPr/>
        <w:t>berbagi</w:t>
      </w:r>
      <w:r>
        <w:rPr>
          <w:spacing w:val="-16"/>
        </w:rPr>
        <w:t> </w:t>
      </w:r>
      <w:r>
        <w:rPr/>
        <w:t>dalam</w:t>
      </w:r>
    </w:p>
    <w:p>
      <w:pPr>
        <w:pStyle w:val="BodyText"/>
        <w:spacing w:after="0" w:line="360" w:lineRule="auto"/>
        <w:sectPr>
          <w:pgSz w:w="11910" w:h="16840"/>
          <w:pgMar w:header="0" w:footer="1186" w:top="1900" w:bottom="1380" w:left="1700" w:right="992"/>
        </w:sectPr>
      </w:pPr>
    </w:p>
    <w:p>
      <w:pPr>
        <w:pStyle w:val="BodyText"/>
        <w:spacing w:line="360" w:lineRule="auto" w:before="82"/>
        <w:ind w:left="1276" w:right="711"/>
      </w:pPr>
      <w:r>
        <w:rPr/>
        <w:t>pengaturan Dana Bagi Hasil baru dengan Pemerintah Kabupaten sebagai mitranya, khususnya Kukar.</w:t>
      </w:r>
    </w:p>
    <w:p>
      <w:pPr>
        <w:pStyle w:val="BodyText"/>
        <w:spacing w:line="360" w:lineRule="auto" w:before="3"/>
        <w:ind w:left="1276" w:right="700" w:firstLine="710"/>
      </w:pPr>
      <w:r>
        <w:rPr/>
        <w:t>Berbagai</w:t>
      </w:r>
      <w:r>
        <w:rPr>
          <w:spacing w:val="-13"/>
        </w:rPr>
        <w:t> </w:t>
      </w:r>
      <w:r>
        <w:rPr/>
        <w:t>aturan</w:t>
      </w:r>
      <w:r>
        <w:rPr>
          <w:spacing w:val="-15"/>
        </w:rPr>
        <w:t> </w:t>
      </w:r>
      <w:r>
        <w:rPr/>
        <w:t>turunan</w:t>
      </w:r>
      <w:r>
        <w:rPr>
          <w:spacing w:val="-14"/>
        </w:rPr>
        <w:t> </w:t>
      </w:r>
      <w:r>
        <w:rPr/>
        <w:t>untuk</w:t>
      </w:r>
      <w:r>
        <w:rPr>
          <w:spacing w:val="-12"/>
        </w:rPr>
        <w:t> </w:t>
      </w:r>
      <w:r>
        <w:rPr/>
        <w:t>pelaksanaan</w:t>
      </w:r>
      <w:r>
        <w:rPr>
          <w:spacing w:val="-14"/>
        </w:rPr>
        <w:t> </w:t>
      </w:r>
      <w:r>
        <w:rPr/>
        <w:t>UU</w:t>
      </w:r>
      <w:r>
        <w:rPr>
          <w:spacing w:val="-15"/>
        </w:rPr>
        <w:t> </w:t>
      </w:r>
      <w:r>
        <w:rPr/>
        <w:t>IKN</w:t>
      </w:r>
      <w:r>
        <w:rPr>
          <w:spacing w:val="-16"/>
        </w:rPr>
        <w:t> </w:t>
      </w:r>
      <w:r>
        <w:rPr/>
        <w:t>Nomor</w:t>
      </w:r>
      <w:r>
        <w:rPr>
          <w:spacing w:val="-15"/>
        </w:rPr>
        <w:t> </w:t>
      </w:r>
      <w:r>
        <w:rPr/>
        <w:t>21 Tahun</w:t>
      </w:r>
      <w:r>
        <w:rPr>
          <w:spacing w:val="-7"/>
        </w:rPr>
        <w:t> </w:t>
      </w:r>
      <w:r>
        <w:rPr/>
        <w:t>2023</w:t>
      </w:r>
      <w:r>
        <w:rPr>
          <w:spacing w:val="-5"/>
        </w:rPr>
        <w:t> </w:t>
      </w:r>
      <w:r>
        <w:rPr/>
        <w:t>hasil revisi/amandemen</w:t>
      </w:r>
      <w:r>
        <w:rPr>
          <w:spacing w:val="-7"/>
        </w:rPr>
        <w:t> </w:t>
      </w:r>
      <w:r>
        <w:rPr/>
        <w:t>masih</w:t>
      </w:r>
      <w:r>
        <w:rPr>
          <w:spacing w:val="-3"/>
        </w:rPr>
        <w:t> </w:t>
      </w:r>
      <w:r>
        <w:rPr/>
        <w:t>ditunggu.</w:t>
      </w:r>
      <w:r>
        <w:rPr>
          <w:spacing w:val="-5"/>
        </w:rPr>
        <w:t> </w:t>
      </w:r>
      <w:r>
        <w:rPr/>
        <w:t>Pembuatannya tidak bisa dipantau karena menjadi kewenangan penuh pemerintah pusat/OIKN.</w:t>
      </w:r>
      <w:r>
        <w:rPr>
          <w:spacing w:val="-14"/>
        </w:rPr>
        <w:t> </w:t>
      </w:r>
      <w:r>
        <w:rPr/>
        <w:t>Padahal,</w:t>
      </w:r>
      <w:r>
        <w:rPr>
          <w:spacing w:val="-14"/>
        </w:rPr>
        <w:t> </w:t>
      </w:r>
      <w:r>
        <w:rPr/>
        <w:t>substansi</w:t>
      </w:r>
      <w:r>
        <w:rPr>
          <w:spacing w:val="-15"/>
        </w:rPr>
        <w:t> </w:t>
      </w:r>
      <w:r>
        <w:rPr/>
        <w:t>pengaturannya</w:t>
      </w:r>
      <w:r>
        <w:rPr>
          <w:spacing w:val="-16"/>
        </w:rPr>
        <w:t> </w:t>
      </w:r>
      <w:r>
        <w:rPr/>
        <w:t>perlu</w:t>
      </w:r>
      <w:r>
        <w:rPr>
          <w:spacing w:val="-17"/>
        </w:rPr>
        <w:t> </w:t>
      </w:r>
      <w:r>
        <w:rPr/>
        <w:t>diamati</w:t>
      </w:r>
      <w:r>
        <w:rPr>
          <w:spacing w:val="-11"/>
        </w:rPr>
        <w:t> </w:t>
      </w:r>
      <w:r>
        <w:rPr/>
        <w:t>dengan cermat,</w:t>
      </w:r>
      <w:r>
        <w:rPr>
          <w:spacing w:val="-7"/>
        </w:rPr>
        <w:t> </w:t>
      </w:r>
      <w:r>
        <w:rPr/>
        <w:t>karena</w:t>
      </w:r>
      <w:r>
        <w:rPr>
          <w:spacing w:val="-9"/>
        </w:rPr>
        <w:t> </w:t>
      </w:r>
      <w:r>
        <w:rPr/>
        <w:t>penghitungan</w:t>
      </w:r>
      <w:r>
        <w:rPr>
          <w:spacing w:val="-8"/>
        </w:rPr>
        <w:t> </w:t>
      </w:r>
      <w:r>
        <w:rPr>
          <w:i/>
        </w:rPr>
        <w:t>potential</w:t>
      </w:r>
      <w:r>
        <w:rPr>
          <w:i/>
          <w:spacing w:val="-8"/>
        </w:rPr>
        <w:t> </w:t>
      </w:r>
      <w:r>
        <w:rPr>
          <w:i/>
        </w:rPr>
        <w:t>loss</w:t>
      </w:r>
      <w:r>
        <w:rPr>
          <w:i/>
          <w:spacing w:val="-10"/>
        </w:rPr>
        <w:t> </w:t>
      </w:r>
      <w:r>
        <w:rPr/>
        <w:t>secara</w:t>
      </w:r>
      <w:r>
        <w:rPr>
          <w:spacing w:val="-9"/>
        </w:rPr>
        <w:t> </w:t>
      </w:r>
      <w:r>
        <w:rPr/>
        <w:t>komprehensif</w:t>
      </w:r>
      <w:r>
        <w:rPr>
          <w:spacing w:val="-6"/>
        </w:rPr>
        <w:t> </w:t>
      </w:r>
      <w:r>
        <w:rPr/>
        <w:t>dan upaya mencari jalan keluar untuk menutupinya, akan tergantung pada semua materi aturan pelaksanaannya tersebut. Sementara, pemantauan dan pengawasan atas implementasi UU IKN hasil revisi ini menjadi kewenangan parlemen nasional (DPR), karena parlemen regional atau daerah, yang menjadi cerminan dari kepetingan representasi rakyat yang terdampak langsung, baik di IKN eks Kabupaten</w:t>
      </w:r>
      <w:r>
        <w:rPr>
          <w:spacing w:val="-11"/>
        </w:rPr>
        <w:t> </w:t>
      </w:r>
      <w:r>
        <w:rPr/>
        <w:t>Kutai</w:t>
      </w:r>
      <w:r>
        <w:rPr>
          <w:spacing w:val="-10"/>
        </w:rPr>
        <w:t> </w:t>
      </w:r>
      <w:r>
        <w:rPr/>
        <w:t>Kartanegara</w:t>
      </w:r>
      <w:r>
        <w:rPr>
          <w:spacing w:val="-6"/>
        </w:rPr>
        <w:t> </w:t>
      </w:r>
      <w:r>
        <w:rPr/>
        <w:t>maupun</w:t>
      </w:r>
      <w:r>
        <w:rPr>
          <w:spacing w:val="-11"/>
        </w:rPr>
        <w:t> </w:t>
      </w:r>
      <w:r>
        <w:rPr/>
        <w:t>daerah</w:t>
      </w:r>
      <w:r>
        <w:rPr>
          <w:spacing w:val="-6"/>
        </w:rPr>
        <w:t> </w:t>
      </w:r>
      <w:r>
        <w:rPr/>
        <w:t>mitra</w:t>
      </w:r>
      <w:r>
        <w:rPr>
          <w:spacing w:val="-11"/>
        </w:rPr>
        <w:t> </w:t>
      </w:r>
      <w:r>
        <w:rPr/>
        <w:t>Kabupaten</w:t>
      </w:r>
      <w:r>
        <w:rPr>
          <w:spacing w:val="-6"/>
        </w:rPr>
        <w:t> </w:t>
      </w:r>
      <w:r>
        <w:rPr/>
        <w:t>Kutai Kartanegara tidak ada.</w:t>
      </w:r>
    </w:p>
    <w:p>
      <w:pPr>
        <w:pStyle w:val="BodyText"/>
        <w:spacing w:line="360" w:lineRule="auto" w:before="2"/>
        <w:ind w:left="1276" w:right="699" w:firstLine="710"/>
      </w:pPr>
      <w:r>
        <w:rPr/>
        <w:t>Tabel</w:t>
      </w:r>
      <w:r>
        <w:rPr>
          <w:spacing w:val="-15"/>
        </w:rPr>
        <w:t> </w:t>
      </w:r>
      <w:r>
        <w:rPr/>
        <w:t>15</w:t>
      </w:r>
      <w:r>
        <w:rPr>
          <w:spacing w:val="-14"/>
        </w:rPr>
        <w:t> </w:t>
      </w:r>
      <w:r>
        <w:rPr/>
        <w:t>memperlihatkan</w:t>
      </w:r>
      <w:r>
        <w:rPr>
          <w:spacing w:val="-15"/>
        </w:rPr>
        <w:t> </w:t>
      </w:r>
      <w:r>
        <w:rPr/>
        <w:t>pengaturan</w:t>
      </w:r>
      <w:r>
        <w:rPr>
          <w:spacing w:val="-15"/>
        </w:rPr>
        <w:t> </w:t>
      </w:r>
      <w:r>
        <w:rPr/>
        <w:t>hukum</w:t>
      </w:r>
      <w:r>
        <w:rPr>
          <w:spacing w:val="-14"/>
        </w:rPr>
        <w:t> </w:t>
      </w:r>
      <w:r>
        <w:rPr/>
        <w:t>terkait</w:t>
      </w:r>
      <w:r>
        <w:rPr>
          <w:spacing w:val="-15"/>
        </w:rPr>
        <w:t> </w:t>
      </w:r>
      <w:r>
        <w:rPr/>
        <w:t>IKN,</w:t>
      </w:r>
      <w:r>
        <w:rPr>
          <w:spacing w:val="-13"/>
        </w:rPr>
        <w:t> </w:t>
      </w:r>
      <w:r>
        <w:rPr/>
        <w:t>yang terdampak ke Daerah Mitra, yang sudah ada. Masih ditunggu berbagai</w:t>
      </w:r>
      <w:r>
        <w:rPr>
          <w:spacing w:val="-2"/>
        </w:rPr>
        <w:t> </w:t>
      </w:r>
      <w:r>
        <w:rPr/>
        <w:t>ketentuan</w:t>
      </w:r>
      <w:r>
        <w:rPr>
          <w:spacing w:val="-3"/>
        </w:rPr>
        <w:t> </w:t>
      </w:r>
      <w:r>
        <w:rPr/>
        <w:t>hukum</w:t>
      </w:r>
      <w:r>
        <w:rPr>
          <w:spacing w:val="-2"/>
        </w:rPr>
        <w:t> </w:t>
      </w:r>
      <w:r>
        <w:rPr/>
        <w:t>lainnya,</w:t>
      </w:r>
      <w:r>
        <w:rPr>
          <w:spacing w:val="-1"/>
        </w:rPr>
        <w:t> </w:t>
      </w:r>
      <w:r>
        <w:rPr/>
        <w:t>yang</w:t>
      </w:r>
      <w:r>
        <w:rPr>
          <w:spacing w:val="-4"/>
        </w:rPr>
        <w:t> </w:t>
      </w:r>
      <w:r>
        <w:rPr/>
        <w:t>harus</w:t>
      </w:r>
      <w:r>
        <w:rPr>
          <w:spacing w:val="-3"/>
        </w:rPr>
        <w:t> </w:t>
      </w:r>
      <w:r>
        <w:rPr/>
        <w:t>dicermati</w:t>
      </w:r>
      <w:r>
        <w:rPr>
          <w:spacing w:val="-2"/>
        </w:rPr>
        <w:t> </w:t>
      </w:r>
      <w:r>
        <w:rPr/>
        <w:t>materi</w:t>
      </w:r>
      <w:r>
        <w:rPr>
          <w:spacing w:val="-2"/>
        </w:rPr>
        <w:t> </w:t>
      </w:r>
      <w:r>
        <w:rPr/>
        <w:t>dan dampak pengaturannya, baik secara langsung maupun tidak langsung, terhadap Kabupaten Kukar.</w:t>
      </w:r>
    </w:p>
    <w:p>
      <w:pPr>
        <w:spacing w:before="15"/>
        <w:ind w:left="1493" w:right="1628" w:firstLine="0"/>
        <w:jc w:val="center"/>
        <w:rPr>
          <w:rFonts w:ascii="Lucida Sans Unicode"/>
          <w:sz w:val="22"/>
        </w:rPr>
      </w:pPr>
      <w:bookmarkStart w:name="_bookmark76" w:id="77"/>
      <w:bookmarkEnd w:id="77"/>
      <w:r>
        <w:rPr/>
      </w:r>
      <w:r>
        <w:rPr>
          <w:rFonts w:ascii="Tahoma"/>
          <w:b/>
          <w:sz w:val="22"/>
        </w:rPr>
        <w:t>Tabel</w:t>
      </w:r>
      <w:r>
        <w:rPr>
          <w:rFonts w:ascii="Tahoma"/>
          <w:b/>
          <w:spacing w:val="-17"/>
          <w:sz w:val="22"/>
        </w:rPr>
        <w:t> </w:t>
      </w:r>
      <w:r>
        <w:rPr>
          <w:rFonts w:ascii="Tahoma"/>
          <w:b/>
          <w:sz w:val="22"/>
        </w:rPr>
        <w:t>15.</w:t>
      </w:r>
      <w:r>
        <w:rPr>
          <w:rFonts w:ascii="Tahoma"/>
          <w:b/>
          <w:spacing w:val="-14"/>
          <w:sz w:val="22"/>
        </w:rPr>
        <w:t> </w:t>
      </w:r>
      <w:r>
        <w:rPr>
          <w:rFonts w:ascii="Lucida Sans Unicode"/>
          <w:sz w:val="22"/>
        </w:rPr>
        <w:t>Pengaturan</w:t>
      </w:r>
      <w:r>
        <w:rPr>
          <w:rFonts w:ascii="Lucida Sans Unicode"/>
          <w:spacing w:val="-13"/>
          <w:sz w:val="22"/>
        </w:rPr>
        <w:t> </w:t>
      </w:r>
      <w:r>
        <w:rPr>
          <w:rFonts w:ascii="Lucida Sans Unicode"/>
          <w:sz w:val="22"/>
        </w:rPr>
        <w:t>Hukum</w:t>
      </w:r>
      <w:r>
        <w:rPr>
          <w:rFonts w:ascii="Lucida Sans Unicode"/>
          <w:spacing w:val="-18"/>
          <w:sz w:val="22"/>
        </w:rPr>
        <w:t> </w:t>
      </w:r>
      <w:r>
        <w:rPr>
          <w:rFonts w:ascii="Lucida Sans Unicode"/>
          <w:sz w:val="22"/>
        </w:rPr>
        <w:t>Terkait</w:t>
      </w:r>
      <w:r>
        <w:rPr>
          <w:rFonts w:ascii="Lucida Sans Unicode"/>
          <w:spacing w:val="-14"/>
          <w:sz w:val="22"/>
        </w:rPr>
        <w:t> </w:t>
      </w:r>
      <w:r>
        <w:rPr>
          <w:rFonts w:ascii="Lucida Sans Unicode"/>
          <w:spacing w:val="-5"/>
          <w:sz w:val="22"/>
        </w:rPr>
        <w:t>IKN</w:t>
      </w:r>
    </w:p>
    <w:p>
      <w:pPr>
        <w:pStyle w:val="BodyText"/>
        <w:spacing w:before="8"/>
        <w:jc w:val="left"/>
        <w:rPr>
          <w:rFonts w:ascii="Lucida Sans Unicode"/>
          <w:sz w:val="11"/>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6094"/>
      </w:tblGrid>
      <w:tr>
        <w:trPr>
          <w:trHeight w:val="642" w:hRule="atLeast"/>
        </w:trPr>
        <w:tc>
          <w:tcPr>
            <w:tcW w:w="1839" w:type="dxa"/>
            <w:shd w:val="clear" w:color="auto" w:fill="00AEEE"/>
          </w:tcPr>
          <w:p>
            <w:pPr>
              <w:pStyle w:val="TableParagraph"/>
              <w:spacing w:line="322" w:lineRule="exact"/>
              <w:ind w:left="508" w:right="195" w:hanging="308"/>
              <w:rPr>
                <w:b/>
                <w:sz w:val="24"/>
              </w:rPr>
            </w:pPr>
            <w:r>
              <w:rPr>
                <w:b/>
                <w:sz w:val="24"/>
              </w:rPr>
              <w:t>Jenis</w:t>
            </w:r>
            <w:r>
              <w:rPr>
                <w:b/>
                <w:spacing w:val="-17"/>
                <w:sz w:val="24"/>
              </w:rPr>
              <w:t> </w:t>
            </w:r>
            <w:r>
              <w:rPr>
                <w:b/>
                <w:sz w:val="24"/>
              </w:rPr>
              <w:t>Produk </w:t>
            </w:r>
            <w:r>
              <w:rPr>
                <w:b/>
                <w:spacing w:val="-2"/>
                <w:sz w:val="24"/>
              </w:rPr>
              <w:t>Hukum</w:t>
            </w:r>
          </w:p>
        </w:tc>
        <w:tc>
          <w:tcPr>
            <w:tcW w:w="6094" w:type="dxa"/>
            <w:shd w:val="clear" w:color="auto" w:fill="00AEEE"/>
          </w:tcPr>
          <w:p>
            <w:pPr>
              <w:pStyle w:val="TableParagraph"/>
              <w:ind w:left="27"/>
              <w:jc w:val="center"/>
              <w:rPr>
                <w:b/>
                <w:sz w:val="24"/>
              </w:rPr>
            </w:pPr>
            <w:r>
              <w:rPr>
                <w:b/>
                <w:sz w:val="24"/>
              </w:rPr>
              <w:t>Nama </w:t>
            </w:r>
            <w:r>
              <w:rPr>
                <w:b/>
                <w:spacing w:val="-2"/>
                <w:sz w:val="24"/>
              </w:rPr>
              <w:t>Produk</w:t>
            </w:r>
          </w:p>
        </w:tc>
      </w:tr>
      <w:tr>
        <w:trPr>
          <w:trHeight w:val="257" w:hRule="atLeast"/>
        </w:trPr>
        <w:tc>
          <w:tcPr>
            <w:tcW w:w="1839" w:type="dxa"/>
            <w:shd w:val="clear" w:color="auto" w:fill="DBE3EF"/>
          </w:tcPr>
          <w:p>
            <w:pPr>
              <w:pStyle w:val="TableParagraph"/>
              <w:spacing w:line="238" w:lineRule="exact"/>
              <w:ind w:left="110"/>
              <w:rPr>
                <w:sz w:val="20"/>
              </w:rPr>
            </w:pPr>
            <w:r>
              <w:rPr>
                <w:spacing w:val="-5"/>
                <w:sz w:val="20"/>
              </w:rPr>
              <w:t>UU</w:t>
            </w:r>
          </w:p>
        </w:tc>
        <w:tc>
          <w:tcPr>
            <w:tcW w:w="6094" w:type="dxa"/>
            <w:shd w:val="clear" w:color="auto" w:fill="DBE3EF"/>
          </w:tcPr>
          <w:p>
            <w:pPr>
              <w:pStyle w:val="TableParagraph"/>
              <w:spacing w:line="238" w:lineRule="exact"/>
              <w:ind w:left="110"/>
              <w:rPr>
                <w:sz w:val="20"/>
              </w:rPr>
            </w:pPr>
            <w:r>
              <w:rPr>
                <w:sz w:val="20"/>
              </w:rPr>
              <w:t>UU</w:t>
            </w:r>
            <w:r>
              <w:rPr>
                <w:spacing w:val="-6"/>
                <w:sz w:val="20"/>
              </w:rPr>
              <w:t> </w:t>
            </w:r>
            <w:r>
              <w:rPr>
                <w:sz w:val="20"/>
              </w:rPr>
              <w:t>Nomor</w:t>
            </w:r>
            <w:r>
              <w:rPr>
                <w:spacing w:val="-9"/>
                <w:sz w:val="20"/>
              </w:rPr>
              <w:t> </w:t>
            </w:r>
            <w:r>
              <w:rPr>
                <w:sz w:val="20"/>
              </w:rPr>
              <w:t>3</w:t>
            </w:r>
            <w:r>
              <w:rPr>
                <w:spacing w:val="-6"/>
                <w:sz w:val="20"/>
              </w:rPr>
              <w:t> </w:t>
            </w:r>
            <w:r>
              <w:rPr>
                <w:sz w:val="20"/>
              </w:rPr>
              <w:t>Tahun</w:t>
            </w:r>
            <w:r>
              <w:rPr>
                <w:spacing w:val="-10"/>
                <w:sz w:val="20"/>
              </w:rPr>
              <w:t> </w:t>
            </w:r>
            <w:r>
              <w:rPr>
                <w:sz w:val="20"/>
              </w:rPr>
              <w:t>2022</w:t>
            </w:r>
            <w:r>
              <w:rPr>
                <w:spacing w:val="-5"/>
                <w:sz w:val="20"/>
              </w:rPr>
              <w:t> </w:t>
            </w:r>
            <w:r>
              <w:rPr>
                <w:sz w:val="20"/>
              </w:rPr>
              <w:t>tentang</w:t>
            </w:r>
            <w:r>
              <w:rPr>
                <w:spacing w:val="-5"/>
                <w:sz w:val="20"/>
              </w:rPr>
              <w:t> IKN</w:t>
            </w:r>
          </w:p>
        </w:tc>
      </w:tr>
      <w:tr>
        <w:trPr>
          <w:trHeight w:val="532" w:hRule="atLeast"/>
        </w:trPr>
        <w:tc>
          <w:tcPr>
            <w:tcW w:w="1839" w:type="dxa"/>
            <w:shd w:val="clear" w:color="auto" w:fill="DBE3EF"/>
          </w:tcPr>
          <w:p>
            <w:pPr>
              <w:pStyle w:val="TableParagraph"/>
              <w:rPr>
                <w:rFonts w:ascii="Times New Roman"/>
                <w:sz w:val="22"/>
              </w:rPr>
            </w:pPr>
          </w:p>
        </w:tc>
        <w:tc>
          <w:tcPr>
            <w:tcW w:w="6094" w:type="dxa"/>
            <w:shd w:val="clear" w:color="auto" w:fill="DBE3EF"/>
          </w:tcPr>
          <w:p>
            <w:pPr>
              <w:pStyle w:val="TableParagraph"/>
              <w:spacing w:line="264" w:lineRule="exact"/>
              <w:ind w:left="110"/>
              <w:rPr>
                <w:sz w:val="20"/>
              </w:rPr>
            </w:pPr>
            <w:r>
              <w:rPr>
                <w:sz w:val="20"/>
              </w:rPr>
              <w:t>UU Nomor 21 Tahun 2022 tentang Perubahan Atas UU Nomor 3 Tahun 2022 tentang IKN</w:t>
            </w:r>
          </w:p>
        </w:tc>
      </w:tr>
      <w:tr>
        <w:trPr>
          <w:trHeight w:val="1065" w:hRule="atLeast"/>
        </w:trPr>
        <w:tc>
          <w:tcPr>
            <w:tcW w:w="1839" w:type="dxa"/>
            <w:shd w:val="clear" w:color="auto" w:fill="DBE3EF"/>
          </w:tcPr>
          <w:p>
            <w:pPr>
              <w:pStyle w:val="TableParagraph"/>
              <w:spacing w:line="242" w:lineRule="auto"/>
              <w:ind w:left="110"/>
              <w:rPr>
                <w:sz w:val="20"/>
              </w:rPr>
            </w:pPr>
            <w:r>
              <w:rPr>
                <w:spacing w:val="-2"/>
                <w:sz w:val="20"/>
              </w:rPr>
              <w:t>Peraturan Pemerintah</w:t>
            </w:r>
          </w:p>
        </w:tc>
        <w:tc>
          <w:tcPr>
            <w:tcW w:w="6094" w:type="dxa"/>
            <w:shd w:val="clear" w:color="auto" w:fill="DBE3EF"/>
          </w:tcPr>
          <w:p>
            <w:pPr>
              <w:pStyle w:val="TableParagraph"/>
              <w:spacing w:line="242" w:lineRule="auto"/>
              <w:ind w:left="110"/>
              <w:rPr>
                <w:sz w:val="20"/>
              </w:rPr>
            </w:pPr>
            <w:r>
              <w:rPr>
                <w:sz w:val="20"/>
              </w:rPr>
              <w:t>PP</w:t>
            </w:r>
            <w:r>
              <w:rPr>
                <w:spacing w:val="38"/>
                <w:sz w:val="20"/>
              </w:rPr>
              <w:t> </w:t>
            </w:r>
            <w:r>
              <w:rPr>
                <w:sz w:val="20"/>
              </w:rPr>
              <w:t>No.</w:t>
            </w:r>
            <w:r>
              <w:rPr>
                <w:spacing w:val="35"/>
                <w:sz w:val="20"/>
              </w:rPr>
              <w:t> </w:t>
            </w:r>
            <w:r>
              <w:rPr>
                <w:sz w:val="20"/>
              </w:rPr>
              <w:t>17/2022</w:t>
            </w:r>
            <w:r>
              <w:rPr>
                <w:spacing w:val="38"/>
                <w:sz w:val="20"/>
              </w:rPr>
              <w:t> </w:t>
            </w:r>
            <w:r>
              <w:rPr>
                <w:sz w:val="20"/>
              </w:rPr>
              <w:t>tentang</w:t>
            </w:r>
            <w:r>
              <w:rPr>
                <w:spacing w:val="32"/>
                <w:sz w:val="20"/>
              </w:rPr>
              <w:t> </w:t>
            </w:r>
            <w:r>
              <w:rPr>
                <w:sz w:val="20"/>
              </w:rPr>
              <w:t>Pendanaan</w:t>
            </w:r>
            <w:r>
              <w:rPr>
                <w:spacing w:val="37"/>
                <w:sz w:val="20"/>
              </w:rPr>
              <w:t> </w:t>
            </w:r>
            <w:r>
              <w:rPr>
                <w:sz w:val="20"/>
              </w:rPr>
              <w:t>dan</w:t>
            </w:r>
            <w:r>
              <w:rPr>
                <w:spacing w:val="37"/>
                <w:sz w:val="20"/>
              </w:rPr>
              <w:t> </w:t>
            </w:r>
            <w:r>
              <w:rPr>
                <w:sz w:val="20"/>
              </w:rPr>
              <w:t>Pengelolaan</w:t>
            </w:r>
            <w:r>
              <w:rPr>
                <w:spacing w:val="40"/>
                <w:sz w:val="20"/>
              </w:rPr>
              <w:t> </w:t>
            </w:r>
            <w:r>
              <w:rPr>
                <w:sz w:val="20"/>
              </w:rPr>
              <w:t>Anggaran dalam</w:t>
            </w:r>
            <w:r>
              <w:rPr>
                <w:spacing w:val="-14"/>
                <w:sz w:val="20"/>
              </w:rPr>
              <w:t> </w:t>
            </w:r>
            <w:r>
              <w:rPr>
                <w:sz w:val="20"/>
              </w:rPr>
              <w:t>Rangka</w:t>
            </w:r>
            <w:r>
              <w:rPr>
                <w:spacing w:val="-14"/>
                <w:sz w:val="20"/>
              </w:rPr>
              <w:t> </w:t>
            </w:r>
            <w:r>
              <w:rPr>
                <w:sz w:val="20"/>
              </w:rPr>
              <w:t>Persiapan,</w:t>
            </w:r>
            <w:r>
              <w:rPr>
                <w:spacing w:val="-14"/>
                <w:sz w:val="20"/>
              </w:rPr>
              <w:t> </w:t>
            </w:r>
            <w:r>
              <w:rPr>
                <w:sz w:val="20"/>
              </w:rPr>
              <w:t>Pembangunan,</w:t>
            </w:r>
            <w:r>
              <w:rPr>
                <w:spacing w:val="-13"/>
                <w:sz w:val="20"/>
              </w:rPr>
              <w:t> </w:t>
            </w:r>
            <w:r>
              <w:rPr>
                <w:sz w:val="20"/>
              </w:rPr>
              <w:t>dan</w:t>
            </w:r>
            <w:r>
              <w:rPr>
                <w:spacing w:val="-14"/>
                <w:sz w:val="20"/>
              </w:rPr>
              <w:t> </w:t>
            </w:r>
            <w:r>
              <w:rPr>
                <w:sz w:val="20"/>
              </w:rPr>
              <w:t>Pemindahan</w:t>
            </w:r>
            <w:r>
              <w:rPr>
                <w:spacing w:val="-7"/>
                <w:sz w:val="20"/>
              </w:rPr>
              <w:t> </w:t>
            </w:r>
            <w:r>
              <w:rPr>
                <w:sz w:val="20"/>
              </w:rPr>
              <w:t>Ibu</w:t>
            </w:r>
            <w:r>
              <w:rPr>
                <w:spacing w:val="-8"/>
                <w:sz w:val="20"/>
              </w:rPr>
              <w:t> </w:t>
            </w:r>
            <w:r>
              <w:rPr>
                <w:spacing w:val="-4"/>
                <w:sz w:val="20"/>
              </w:rPr>
              <w:t>Kota</w:t>
            </w:r>
          </w:p>
          <w:p>
            <w:pPr>
              <w:pStyle w:val="TableParagraph"/>
              <w:spacing w:line="250" w:lineRule="exact" w:before="8"/>
              <w:ind w:left="110"/>
              <w:rPr>
                <w:sz w:val="20"/>
              </w:rPr>
            </w:pPr>
            <w:r>
              <w:rPr>
                <w:sz w:val="20"/>
              </w:rPr>
              <w:t>Negara serta Penyelenggaraan Pemerintahan Daerah Khusus</w:t>
            </w:r>
            <w:r>
              <w:rPr>
                <w:spacing w:val="27"/>
                <w:sz w:val="20"/>
              </w:rPr>
              <w:t> </w:t>
            </w:r>
            <w:r>
              <w:rPr>
                <w:sz w:val="20"/>
              </w:rPr>
              <w:t>Ibu Kota Nusantara.</w:t>
            </w:r>
          </w:p>
        </w:tc>
      </w:tr>
    </w:tbl>
    <w:p>
      <w:pPr>
        <w:pStyle w:val="TableParagraph"/>
        <w:spacing w:after="0" w:line="250" w:lineRule="exact"/>
        <w:rPr>
          <w:sz w:val="20"/>
        </w:rPr>
        <w:sectPr>
          <w:pgSz w:w="11910" w:h="16840"/>
          <w:pgMar w:header="0" w:footer="1186" w:top="1580" w:bottom="1380" w:left="1700" w:right="992"/>
        </w:sectPr>
      </w:pPr>
    </w:p>
    <w:p>
      <w:pPr>
        <w:pStyle w:val="BodyText"/>
        <w:jc w:val="left"/>
        <w:rPr>
          <w:rFonts w:ascii="Lucida Sans Unicode"/>
          <w:sz w:val="2"/>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6094"/>
      </w:tblGrid>
      <w:tr>
        <w:trPr>
          <w:trHeight w:val="796"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5" w:lineRule="exact"/>
              <w:ind w:left="110"/>
              <w:rPr>
                <w:sz w:val="20"/>
              </w:rPr>
            </w:pPr>
            <w:r>
              <w:rPr>
                <w:spacing w:val="-2"/>
                <w:sz w:val="20"/>
              </w:rPr>
              <w:t>PP</w:t>
            </w:r>
            <w:r>
              <w:rPr>
                <w:spacing w:val="-11"/>
                <w:sz w:val="20"/>
              </w:rPr>
              <w:t> </w:t>
            </w:r>
            <w:r>
              <w:rPr>
                <w:spacing w:val="-2"/>
                <w:sz w:val="20"/>
              </w:rPr>
              <w:t>No.</w:t>
            </w:r>
            <w:r>
              <w:rPr>
                <w:spacing w:val="-17"/>
                <w:sz w:val="20"/>
              </w:rPr>
              <w:t> </w:t>
            </w:r>
            <w:r>
              <w:rPr>
                <w:spacing w:val="-2"/>
                <w:sz w:val="20"/>
              </w:rPr>
              <w:t>12/2023</w:t>
            </w:r>
            <w:r>
              <w:rPr>
                <w:spacing w:val="-9"/>
                <w:sz w:val="20"/>
              </w:rPr>
              <w:t> </w:t>
            </w:r>
            <w:r>
              <w:rPr>
                <w:spacing w:val="-2"/>
                <w:sz w:val="20"/>
              </w:rPr>
              <w:t>tentang</w:t>
            </w:r>
            <w:r>
              <w:rPr>
                <w:spacing w:val="-15"/>
                <w:sz w:val="20"/>
              </w:rPr>
              <w:t> </w:t>
            </w:r>
            <w:r>
              <w:rPr>
                <w:spacing w:val="-2"/>
                <w:sz w:val="20"/>
              </w:rPr>
              <w:t>Pemberian</w:t>
            </w:r>
            <w:r>
              <w:rPr>
                <w:spacing w:val="-19"/>
                <w:sz w:val="20"/>
              </w:rPr>
              <w:t> </w:t>
            </w:r>
            <w:r>
              <w:rPr>
                <w:spacing w:val="-2"/>
                <w:sz w:val="20"/>
              </w:rPr>
              <w:t>Perizinan</w:t>
            </w:r>
            <w:r>
              <w:rPr>
                <w:spacing w:val="-10"/>
                <w:sz w:val="20"/>
              </w:rPr>
              <w:t> </w:t>
            </w:r>
            <w:r>
              <w:rPr>
                <w:spacing w:val="-2"/>
                <w:sz w:val="20"/>
              </w:rPr>
              <w:t>Berusaha,</w:t>
            </w:r>
            <w:r>
              <w:rPr>
                <w:spacing w:val="-10"/>
                <w:sz w:val="20"/>
              </w:rPr>
              <w:t> </w:t>
            </w:r>
            <w:r>
              <w:rPr>
                <w:spacing w:val="-2"/>
                <w:sz w:val="20"/>
              </w:rPr>
              <w:t>Kemudahan</w:t>
            </w:r>
          </w:p>
          <w:p>
            <w:pPr>
              <w:pStyle w:val="TableParagraph"/>
              <w:spacing w:line="250" w:lineRule="exact" w:before="11"/>
              <w:ind w:left="110"/>
              <w:rPr>
                <w:sz w:val="20"/>
              </w:rPr>
            </w:pPr>
            <w:r>
              <w:rPr>
                <w:sz w:val="20"/>
              </w:rPr>
              <w:t>Berusaha,</w:t>
            </w:r>
            <w:r>
              <w:rPr>
                <w:spacing w:val="-10"/>
                <w:sz w:val="20"/>
              </w:rPr>
              <w:t> </w:t>
            </w:r>
            <w:r>
              <w:rPr>
                <w:sz w:val="20"/>
              </w:rPr>
              <w:t>dan</w:t>
            </w:r>
            <w:r>
              <w:rPr>
                <w:spacing w:val="-14"/>
                <w:sz w:val="20"/>
              </w:rPr>
              <w:t> </w:t>
            </w:r>
            <w:r>
              <w:rPr>
                <w:sz w:val="20"/>
              </w:rPr>
              <w:t>Fasilitas</w:t>
            </w:r>
            <w:r>
              <w:rPr>
                <w:spacing w:val="-13"/>
                <w:sz w:val="20"/>
              </w:rPr>
              <w:t> </w:t>
            </w:r>
            <w:r>
              <w:rPr>
                <w:sz w:val="20"/>
              </w:rPr>
              <w:t>Penanaman</w:t>
            </w:r>
            <w:r>
              <w:rPr>
                <w:spacing w:val="-8"/>
                <w:sz w:val="20"/>
              </w:rPr>
              <w:t> </w:t>
            </w:r>
            <w:r>
              <w:rPr>
                <w:sz w:val="20"/>
              </w:rPr>
              <w:t>Modal</w:t>
            </w:r>
            <w:r>
              <w:rPr>
                <w:spacing w:val="-11"/>
                <w:sz w:val="20"/>
              </w:rPr>
              <w:t> </w:t>
            </w:r>
            <w:r>
              <w:rPr>
                <w:sz w:val="20"/>
              </w:rPr>
              <w:t>bagi</w:t>
            </w:r>
            <w:r>
              <w:rPr>
                <w:spacing w:val="-10"/>
                <w:sz w:val="20"/>
              </w:rPr>
              <w:t> </w:t>
            </w:r>
            <w:r>
              <w:rPr>
                <w:sz w:val="20"/>
              </w:rPr>
              <w:t>Pelaku</w:t>
            </w:r>
            <w:r>
              <w:rPr>
                <w:spacing w:val="-9"/>
                <w:sz w:val="20"/>
              </w:rPr>
              <w:t> </w:t>
            </w:r>
            <w:r>
              <w:rPr>
                <w:sz w:val="20"/>
              </w:rPr>
              <w:t>Usaha</w:t>
            </w:r>
            <w:r>
              <w:rPr>
                <w:spacing w:val="-11"/>
                <w:sz w:val="20"/>
              </w:rPr>
              <w:t> </w:t>
            </w:r>
            <w:r>
              <w:rPr>
                <w:sz w:val="20"/>
              </w:rPr>
              <w:t>di</w:t>
            </w:r>
            <w:r>
              <w:rPr>
                <w:spacing w:val="-11"/>
                <w:sz w:val="20"/>
              </w:rPr>
              <w:t> </w:t>
            </w:r>
            <w:r>
              <w:rPr>
                <w:sz w:val="20"/>
              </w:rPr>
              <w:t>Ibu Kota Nusantara.</w:t>
            </w:r>
          </w:p>
        </w:tc>
      </w:tr>
      <w:tr>
        <w:trPr>
          <w:trHeight w:val="532"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4" w:lineRule="exact"/>
              <w:ind w:left="110"/>
              <w:rPr>
                <w:sz w:val="20"/>
              </w:rPr>
            </w:pPr>
            <w:r>
              <w:rPr>
                <w:sz w:val="20"/>
              </w:rPr>
              <w:t>PP</w:t>
            </w:r>
            <w:r>
              <w:rPr>
                <w:spacing w:val="40"/>
                <w:sz w:val="20"/>
              </w:rPr>
              <w:t> </w:t>
            </w:r>
            <w:r>
              <w:rPr>
                <w:sz w:val="20"/>
              </w:rPr>
              <w:t>No.</w:t>
            </w:r>
            <w:r>
              <w:rPr>
                <w:spacing w:val="40"/>
                <w:sz w:val="20"/>
              </w:rPr>
              <w:t> </w:t>
            </w:r>
            <w:r>
              <w:rPr>
                <w:sz w:val="20"/>
              </w:rPr>
              <w:t>27/2023</w:t>
            </w:r>
            <w:r>
              <w:rPr>
                <w:spacing w:val="40"/>
                <w:sz w:val="20"/>
              </w:rPr>
              <w:t> </w:t>
            </w:r>
            <w:r>
              <w:rPr>
                <w:sz w:val="20"/>
              </w:rPr>
              <w:t>tentang</w:t>
            </w:r>
            <w:r>
              <w:rPr>
                <w:spacing w:val="40"/>
                <w:sz w:val="20"/>
              </w:rPr>
              <w:t> </w:t>
            </w:r>
            <w:r>
              <w:rPr>
                <w:sz w:val="20"/>
              </w:rPr>
              <w:t>Kewenangan</w:t>
            </w:r>
            <w:r>
              <w:rPr>
                <w:spacing w:val="40"/>
                <w:sz w:val="20"/>
              </w:rPr>
              <w:t> </w:t>
            </w:r>
            <w:r>
              <w:rPr>
                <w:sz w:val="20"/>
              </w:rPr>
              <w:t>Khusus</w:t>
            </w:r>
            <w:r>
              <w:rPr>
                <w:spacing w:val="40"/>
                <w:sz w:val="20"/>
              </w:rPr>
              <w:t> </w:t>
            </w:r>
            <w:r>
              <w:rPr>
                <w:sz w:val="20"/>
              </w:rPr>
              <w:t>Otorita</w:t>
            </w:r>
            <w:r>
              <w:rPr>
                <w:spacing w:val="40"/>
                <w:sz w:val="20"/>
              </w:rPr>
              <w:t> </w:t>
            </w:r>
            <w:r>
              <w:rPr>
                <w:sz w:val="20"/>
              </w:rPr>
              <w:t>Ibu</w:t>
            </w:r>
            <w:r>
              <w:rPr>
                <w:spacing w:val="40"/>
                <w:sz w:val="20"/>
              </w:rPr>
              <w:t> </w:t>
            </w:r>
            <w:r>
              <w:rPr>
                <w:sz w:val="20"/>
              </w:rPr>
              <w:t>Kota </w:t>
            </w:r>
            <w:r>
              <w:rPr>
                <w:spacing w:val="-2"/>
                <w:sz w:val="20"/>
              </w:rPr>
              <w:t>Nusantara</w:t>
            </w:r>
          </w:p>
        </w:tc>
      </w:tr>
      <w:tr>
        <w:trPr>
          <w:trHeight w:val="532" w:hRule="atLeast"/>
        </w:trPr>
        <w:tc>
          <w:tcPr>
            <w:tcW w:w="1839" w:type="dxa"/>
            <w:shd w:val="clear" w:color="auto" w:fill="DBE3EF"/>
          </w:tcPr>
          <w:p>
            <w:pPr>
              <w:pStyle w:val="TableParagraph"/>
              <w:spacing w:line="260" w:lineRule="exact"/>
              <w:ind w:left="110"/>
              <w:rPr>
                <w:sz w:val="20"/>
              </w:rPr>
            </w:pPr>
            <w:r>
              <w:rPr>
                <w:spacing w:val="-2"/>
                <w:sz w:val="20"/>
              </w:rPr>
              <w:t>Peraturan</w:t>
            </w:r>
          </w:p>
          <w:p>
            <w:pPr>
              <w:pStyle w:val="TableParagraph"/>
              <w:spacing w:line="252" w:lineRule="exact"/>
              <w:ind w:left="110"/>
              <w:rPr>
                <w:sz w:val="20"/>
              </w:rPr>
            </w:pPr>
            <w:r>
              <w:rPr>
                <w:spacing w:val="-2"/>
                <w:sz w:val="20"/>
              </w:rPr>
              <w:t>Presiden</w:t>
            </w:r>
            <w:r>
              <w:rPr>
                <w:spacing w:val="-1"/>
                <w:sz w:val="20"/>
              </w:rPr>
              <w:t> </w:t>
            </w:r>
            <w:r>
              <w:rPr>
                <w:spacing w:val="-2"/>
                <w:sz w:val="20"/>
              </w:rPr>
              <w:t>(Pepres)</w:t>
            </w:r>
          </w:p>
        </w:tc>
        <w:tc>
          <w:tcPr>
            <w:tcW w:w="6094" w:type="dxa"/>
            <w:shd w:val="clear" w:color="auto" w:fill="DBE3EF"/>
          </w:tcPr>
          <w:p>
            <w:pPr>
              <w:pStyle w:val="TableParagraph"/>
              <w:ind w:left="110"/>
              <w:rPr>
                <w:sz w:val="20"/>
              </w:rPr>
            </w:pPr>
            <w:r>
              <w:rPr>
                <w:sz w:val="20"/>
              </w:rPr>
              <w:t>Perpres</w:t>
            </w:r>
            <w:r>
              <w:rPr>
                <w:spacing w:val="-8"/>
                <w:sz w:val="20"/>
              </w:rPr>
              <w:t> </w:t>
            </w:r>
            <w:r>
              <w:rPr>
                <w:sz w:val="20"/>
              </w:rPr>
              <w:t>No.</w:t>
            </w:r>
            <w:r>
              <w:rPr>
                <w:spacing w:val="-9"/>
                <w:sz w:val="20"/>
              </w:rPr>
              <w:t> </w:t>
            </w:r>
            <w:r>
              <w:rPr>
                <w:sz w:val="20"/>
              </w:rPr>
              <w:t>62/2022</w:t>
            </w:r>
            <w:r>
              <w:rPr>
                <w:spacing w:val="-8"/>
                <w:sz w:val="20"/>
              </w:rPr>
              <w:t> </w:t>
            </w:r>
            <w:r>
              <w:rPr>
                <w:sz w:val="20"/>
              </w:rPr>
              <w:t>tentang</w:t>
            </w:r>
            <w:r>
              <w:rPr>
                <w:spacing w:val="-11"/>
                <w:sz w:val="20"/>
              </w:rPr>
              <w:t> </w:t>
            </w:r>
            <w:r>
              <w:rPr>
                <w:sz w:val="20"/>
              </w:rPr>
              <w:t>Otorita</w:t>
            </w:r>
            <w:r>
              <w:rPr>
                <w:spacing w:val="-10"/>
                <w:sz w:val="20"/>
              </w:rPr>
              <w:t> </w:t>
            </w:r>
            <w:r>
              <w:rPr>
                <w:sz w:val="20"/>
              </w:rPr>
              <w:t>Ibu</w:t>
            </w:r>
            <w:r>
              <w:rPr>
                <w:spacing w:val="-8"/>
                <w:sz w:val="20"/>
              </w:rPr>
              <w:t> </w:t>
            </w:r>
            <w:r>
              <w:rPr>
                <w:sz w:val="20"/>
              </w:rPr>
              <w:t>Kota</w:t>
            </w:r>
            <w:r>
              <w:rPr>
                <w:spacing w:val="-9"/>
                <w:sz w:val="20"/>
              </w:rPr>
              <w:t> </w:t>
            </w:r>
            <w:r>
              <w:rPr>
                <w:spacing w:val="-2"/>
                <w:sz w:val="20"/>
              </w:rPr>
              <w:t>Nusantara.</w:t>
            </w:r>
          </w:p>
        </w:tc>
      </w:tr>
      <w:tr>
        <w:trPr>
          <w:trHeight w:val="532"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0" w:lineRule="exact"/>
              <w:ind w:left="110"/>
              <w:rPr>
                <w:sz w:val="20"/>
              </w:rPr>
            </w:pPr>
            <w:r>
              <w:rPr>
                <w:sz w:val="20"/>
              </w:rPr>
              <w:t>Perpres</w:t>
            </w:r>
            <w:r>
              <w:rPr>
                <w:spacing w:val="30"/>
                <w:sz w:val="20"/>
              </w:rPr>
              <w:t> </w:t>
            </w:r>
            <w:r>
              <w:rPr>
                <w:sz w:val="20"/>
              </w:rPr>
              <w:t>No.</w:t>
            </w:r>
            <w:r>
              <w:rPr>
                <w:spacing w:val="23"/>
                <w:sz w:val="20"/>
              </w:rPr>
              <w:t> </w:t>
            </w:r>
            <w:r>
              <w:rPr>
                <w:sz w:val="20"/>
              </w:rPr>
              <w:t>63/2022</w:t>
            </w:r>
            <w:r>
              <w:rPr>
                <w:spacing w:val="35"/>
                <w:sz w:val="20"/>
              </w:rPr>
              <w:t> </w:t>
            </w:r>
            <w:r>
              <w:rPr>
                <w:sz w:val="20"/>
              </w:rPr>
              <w:t>tentang</w:t>
            </w:r>
            <w:r>
              <w:rPr>
                <w:spacing w:val="30"/>
                <w:sz w:val="20"/>
              </w:rPr>
              <w:t> </w:t>
            </w:r>
            <w:r>
              <w:rPr>
                <w:sz w:val="20"/>
              </w:rPr>
              <w:t>Perincian</w:t>
            </w:r>
            <w:r>
              <w:rPr>
                <w:spacing w:val="30"/>
                <w:sz w:val="20"/>
              </w:rPr>
              <w:t> </w:t>
            </w:r>
            <w:r>
              <w:rPr>
                <w:sz w:val="20"/>
              </w:rPr>
              <w:t>Rencana</w:t>
            </w:r>
            <w:r>
              <w:rPr>
                <w:spacing w:val="28"/>
                <w:sz w:val="20"/>
              </w:rPr>
              <w:t> </w:t>
            </w:r>
            <w:r>
              <w:rPr>
                <w:sz w:val="20"/>
              </w:rPr>
              <w:t>Induk</w:t>
            </w:r>
            <w:r>
              <w:rPr>
                <w:spacing w:val="34"/>
                <w:sz w:val="20"/>
              </w:rPr>
              <w:t> </w:t>
            </w:r>
            <w:r>
              <w:rPr>
                <w:sz w:val="20"/>
              </w:rPr>
              <w:t>Ibu</w:t>
            </w:r>
            <w:r>
              <w:rPr>
                <w:spacing w:val="35"/>
                <w:sz w:val="20"/>
              </w:rPr>
              <w:t> </w:t>
            </w:r>
            <w:r>
              <w:rPr>
                <w:spacing w:val="-4"/>
                <w:sz w:val="20"/>
              </w:rPr>
              <w:t>Kota</w:t>
            </w:r>
          </w:p>
          <w:p>
            <w:pPr>
              <w:pStyle w:val="TableParagraph"/>
              <w:spacing w:line="252" w:lineRule="exact"/>
              <w:ind w:left="110"/>
              <w:rPr>
                <w:sz w:val="20"/>
              </w:rPr>
            </w:pPr>
            <w:r>
              <w:rPr>
                <w:spacing w:val="-2"/>
                <w:sz w:val="20"/>
              </w:rPr>
              <w:t>Nusantara.</w:t>
            </w:r>
          </w:p>
        </w:tc>
      </w:tr>
      <w:tr>
        <w:trPr>
          <w:trHeight w:val="527"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4" w:lineRule="exact"/>
              <w:ind w:left="110"/>
              <w:rPr>
                <w:sz w:val="20"/>
              </w:rPr>
            </w:pPr>
            <w:r>
              <w:rPr>
                <w:sz w:val="20"/>
              </w:rPr>
              <w:t>Perpres No. 64/2022 tentang Rencana Tata Ruang (RTR) Kawasan Strategis Nasional (KSN) Ibu Kota Nusantara Tahun 2022-2042.</w:t>
            </w:r>
          </w:p>
        </w:tc>
      </w:tr>
      <w:tr>
        <w:trPr>
          <w:trHeight w:val="532"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4" w:lineRule="exact"/>
              <w:ind w:left="110"/>
              <w:rPr>
                <w:sz w:val="20"/>
              </w:rPr>
            </w:pPr>
            <w:r>
              <w:rPr>
                <w:sz w:val="20"/>
              </w:rPr>
              <w:t>Perpres No.</w:t>
            </w:r>
            <w:r>
              <w:rPr>
                <w:spacing w:val="-7"/>
                <w:sz w:val="20"/>
              </w:rPr>
              <w:t> </w:t>
            </w:r>
            <w:r>
              <w:rPr>
                <w:sz w:val="20"/>
              </w:rPr>
              <w:t>65/2022</w:t>
            </w:r>
            <w:r>
              <w:rPr>
                <w:spacing w:val="-5"/>
                <w:sz w:val="20"/>
              </w:rPr>
              <w:t> </w:t>
            </w:r>
            <w:r>
              <w:rPr>
                <w:sz w:val="20"/>
              </w:rPr>
              <w:t>tentang</w:t>
            </w:r>
            <w:r>
              <w:rPr>
                <w:spacing w:val="-4"/>
                <w:sz w:val="20"/>
              </w:rPr>
              <w:t> </w:t>
            </w:r>
            <w:r>
              <w:rPr>
                <w:sz w:val="20"/>
              </w:rPr>
              <w:t>Perolehan</w:t>
            </w:r>
            <w:r>
              <w:rPr>
                <w:spacing w:val="-5"/>
                <w:sz w:val="20"/>
              </w:rPr>
              <w:t> </w:t>
            </w:r>
            <w:r>
              <w:rPr>
                <w:sz w:val="20"/>
              </w:rPr>
              <w:t>Tanah</w:t>
            </w:r>
            <w:r>
              <w:rPr>
                <w:spacing w:val="-5"/>
                <w:sz w:val="20"/>
              </w:rPr>
              <w:t> </w:t>
            </w:r>
            <w:r>
              <w:rPr>
                <w:sz w:val="20"/>
              </w:rPr>
              <w:t>dan</w:t>
            </w:r>
            <w:r>
              <w:rPr>
                <w:spacing w:val="-5"/>
                <w:sz w:val="20"/>
              </w:rPr>
              <w:t> </w:t>
            </w:r>
            <w:r>
              <w:rPr>
                <w:sz w:val="20"/>
              </w:rPr>
              <w:t>Pengelolaan Pertanahan di Ibu Kota Nusantara.</w:t>
            </w:r>
          </w:p>
        </w:tc>
      </w:tr>
      <w:tr>
        <w:trPr>
          <w:trHeight w:val="532"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1" w:lineRule="exact"/>
              <w:ind w:left="110"/>
              <w:rPr>
                <w:sz w:val="20"/>
              </w:rPr>
            </w:pPr>
            <w:r>
              <w:rPr>
                <w:sz w:val="20"/>
              </w:rPr>
              <w:t>Rancangan</w:t>
            </w:r>
            <w:r>
              <w:rPr>
                <w:spacing w:val="15"/>
                <w:sz w:val="20"/>
              </w:rPr>
              <w:t> </w:t>
            </w:r>
            <w:r>
              <w:rPr>
                <w:sz w:val="20"/>
              </w:rPr>
              <w:t>Perpres</w:t>
            </w:r>
            <w:r>
              <w:rPr>
                <w:spacing w:val="18"/>
                <w:sz w:val="20"/>
              </w:rPr>
              <w:t> </w:t>
            </w:r>
            <w:r>
              <w:rPr>
                <w:sz w:val="20"/>
              </w:rPr>
              <w:t>tentang</w:t>
            </w:r>
            <w:r>
              <w:rPr>
                <w:spacing w:val="11"/>
                <w:sz w:val="20"/>
              </w:rPr>
              <w:t> </w:t>
            </w:r>
            <w:r>
              <w:rPr>
                <w:sz w:val="20"/>
              </w:rPr>
              <w:t>Pemindahan</w:t>
            </w:r>
            <w:r>
              <w:rPr>
                <w:spacing w:val="15"/>
                <w:sz w:val="20"/>
              </w:rPr>
              <w:t> </w:t>
            </w:r>
            <w:r>
              <w:rPr>
                <w:sz w:val="20"/>
              </w:rPr>
              <w:t>Lembaga</w:t>
            </w:r>
            <w:r>
              <w:rPr>
                <w:spacing w:val="13"/>
                <w:sz w:val="20"/>
              </w:rPr>
              <w:t> </w:t>
            </w:r>
            <w:r>
              <w:rPr>
                <w:spacing w:val="-2"/>
                <w:sz w:val="20"/>
              </w:rPr>
              <w:t>Negara,</w:t>
            </w:r>
          </w:p>
          <w:p>
            <w:pPr>
              <w:pStyle w:val="TableParagraph"/>
              <w:spacing w:line="248" w:lineRule="exact" w:before="2"/>
              <w:ind w:left="110"/>
              <w:rPr>
                <w:sz w:val="20"/>
              </w:rPr>
            </w:pPr>
            <w:r>
              <w:rPr>
                <w:sz w:val="20"/>
              </w:rPr>
              <w:t>Aparatur</w:t>
            </w:r>
            <w:r>
              <w:rPr>
                <w:spacing w:val="-5"/>
                <w:sz w:val="20"/>
              </w:rPr>
              <w:t> </w:t>
            </w:r>
            <w:r>
              <w:rPr>
                <w:sz w:val="20"/>
              </w:rPr>
              <w:t>Sipil</w:t>
            </w:r>
            <w:r>
              <w:rPr>
                <w:spacing w:val="-8"/>
                <w:sz w:val="20"/>
              </w:rPr>
              <w:t> </w:t>
            </w:r>
            <w:r>
              <w:rPr>
                <w:sz w:val="20"/>
              </w:rPr>
              <w:t>Negara,</w:t>
            </w:r>
            <w:r>
              <w:rPr>
                <w:spacing w:val="-7"/>
                <w:sz w:val="20"/>
              </w:rPr>
              <w:t> </w:t>
            </w:r>
            <w:r>
              <w:rPr>
                <w:sz w:val="20"/>
              </w:rPr>
              <w:t>PNA,</w:t>
            </w:r>
            <w:r>
              <w:rPr>
                <w:spacing w:val="-8"/>
                <w:sz w:val="20"/>
              </w:rPr>
              <w:t> </w:t>
            </w:r>
            <w:r>
              <w:rPr>
                <w:sz w:val="20"/>
              </w:rPr>
              <w:t>dan</w:t>
            </w:r>
            <w:r>
              <w:rPr>
                <w:spacing w:val="-4"/>
                <w:sz w:val="20"/>
              </w:rPr>
              <w:t> </w:t>
            </w:r>
            <w:r>
              <w:rPr>
                <w:spacing w:val="-5"/>
                <w:sz w:val="20"/>
              </w:rPr>
              <w:t>OI.</w:t>
            </w:r>
          </w:p>
        </w:tc>
      </w:tr>
      <w:tr>
        <w:trPr>
          <w:trHeight w:val="801" w:hRule="atLeast"/>
        </w:trPr>
        <w:tc>
          <w:tcPr>
            <w:tcW w:w="1839" w:type="dxa"/>
            <w:shd w:val="clear" w:color="auto" w:fill="DBE3EF"/>
          </w:tcPr>
          <w:p>
            <w:pPr>
              <w:pStyle w:val="TableParagraph"/>
              <w:spacing w:line="261" w:lineRule="exact"/>
              <w:ind w:left="110"/>
              <w:rPr>
                <w:sz w:val="20"/>
              </w:rPr>
            </w:pPr>
            <w:r>
              <w:rPr>
                <w:sz w:val="20"/>
              </w:rPr>
              <w:t>Peraturan</w:t>
            </w:r>
            <w:r>
              <w:rPr>
                <w:spacing w:val="60"/>
                <w:sz w:val="20"/>
              </w:rPr>
              <w:t> </w:t>
            </w:r>
            <w:r>
              <w:rPr>
                <w:spacing w:val="-2"/>
                <w:sz w:val="20"/>
              </w:rPr>
              <w:t>Kepala</w:t>
            </w:r>
          </w:p>
          <w:p>
            <w:pPr>
              <w:pStyle w:val="TableParagraph"/>
              <w:tabs>
                <w:tab w:pos="1416" w:val="left" w:leader="none"/>
              </w:tabs>
              <w:spacing w:line="264" w:lineRule="exact"/>
              <w:ind w:left="110" w:right="92"/>
              <w:rPr>
                <w:sz w:val="20"/>
              </w:rPr>
            </w:pPr>
            <w:r>
              <w:rPr>
                <w:spacing w:val="-2"/>
                <w:sz w:val="20"/>
              </w:rPr>
              <w:t>Otorita</w:t>
            </w:r>
            <w:r>
              <w:rPr>
                <w:sz w:val="20"/>
              </w:rPr>
              <w:tab/>
            </w:r>
            <w:r>
              <w:rPr>
                <w:spacing w:val="-4"/>
                <w:sz w:val="20"/>
              </w:rPr>
              <w:t>IKN </w:t>
            </w:r>
            <w:r>
              <w:rPr>
                <w:spacing w:val="-2"/>
                <w:sz w:val="20"/>
              </w:rPr>
              <w:t>(Perka)</w:t>
            </w:r>
          </w:p>
        </w:tc>
        <w:tc>
          <w:tcPr>
            <w:tcW w:w="6094" w:type="dxa"/>
            <w:shd w:val="clear" w:color="auto" w:fill="DBE3EF"/>
          </w:tcPr>
          <w:p>
            <w:pPr>
              <w:pStyle w:val="TableParagraph"/>
              <w:spacing w:line="242" w:lineRule="auto"/>
              <w:ind w:left="110"/>
              <w:rPr>
                <w:sz w:val="20"/>
              </w:rPr>
            </w:pPr>
            <w:r>
              <w:rPr>
                <w:sz w:val="20"/>
              </w:rPr>
              <w:t>Perka Otorita IKN No. 1/2022 tentang Organisasi dan Tata Kerja</w:t>
            </w:r>
            <w:r>
              <w:rPr>
                <w:spacing w:val="40"/>
                <w:sz w:val="20"/>
              </w:rPr>
              <w:t> </w:t>
            </w:r>
            <w:r>
              <w:rPr>
                <w:sz w:val="20"/>
              </w:rPr>
              <w:t>Otorita IKN.</w:t>
            </w:r>
          </w:p>
        </w:tc>
      </w:tr>
      <w:tr>
        <w:trPr>
          <w:trHeight w:val="263"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4" w:lineRule="exact"/>
              <w:ind w:left="110"/>
              <w:rPr>
                <w:sz w:val="20"/>
              </w:rPr>
            </w:pPr>
            <w:r>
              <w:rPr>
                <w:sz w:val="20"/>
              </w:rPr>
              <w:t>Perka</w:t>
            </w:r>
            <w:r>
              <w:rPr>
                <w:spacing w:val="-9"/>
                <w:sz w:val="20"/>
              </w:rPr>
              <w:t> </w:t>
            </w:r>
            <w:r>
              <w:rPr>
                <w:sz w:val="20"/>
              </w:rPr>
              <w:t>Otorita</w:t>
            </w:r>
            <w:r>
              <w:rPr>
                <w:spacing w:val="-8"/>
                <w:sz w:val="20"/>
              </w:rPr>
              <w:t> </w:t>
            </w:r>
            <w:r>
              <w:rPr>
                <w:sz w:val="20"/>
              </w:rPr>
              <w:t>IKN</w:t>
            </w:r>
            <w:r>
              <w:rPr>
                <w:spacing w:val="-9"/>
                <w:sz w:val="20"/>
              </w:rPr>
              <w:t> </w:t>
            </w:r>
            <w:r>
              <w:rPr>
                <w:sz w:val="20"/>
              </w:rPr>
              <w:t>No.</w:t>
            </w:r>
            <w:r>
              <w:rPr>
                <w:spacing w:val="-13"/>
                <w:sz w:val="20"/>
              </w:rPr>
              <w:t> </w:t>
            </w:r>
            <w:r>
              <w:rPr>
                <w:sz w:val="20"/>
              </w:rPr>
              <w:t>1/2023</w:t>
            </w:r>
            <w:r>
              <w:rPr>
                <w:spacing w:val="-6"/>
                <w:sz w:val="20"/>
              </w:rPr>
              <w:t> </w:t>
            </w:r>
            <w:r>
              <w:rPr>
                <w:sz w:val="20"/>
              </w:rPr>
              <w:t>tentang</w:t>
            </w:r>
            <w:r>
              <w:rPr>
                <w:spacing w:val="-5"/>
                <w:sz w:val="20"/>
              </w:rPr>
              <w:t> </w:t>
            </w:r>
            <w:r>
              <w:rPr>
                <w:sz w:val="20"/>
              </w:rPr>
              <w:t>RDTD</w:t>
            </w:r>
            <w:r>
              <w:rPr>
                <w:spacing w:val="-10"/>
                <w:sz w:val="20"/>
              </w:rPr>
              <w:t> </w:t>
            </w:r>
            <w:r>
              <w:rPr>
                <w:sz w:val="20"/>
              </w:rPr>
              <w:t>WP</w:t>
            </w:r>
            <w:r>
              <w:rPr>
                <w:spacing w:val="-5"/>
                <w:sz w:val="20"/>
              </w:rPr>
              <w:t> </w:t>
            </w:r>
            <w:r>
              <w:rPr>
                <w:spacing w:val="-4"/>
                <w:sz w:val="20"/>
              </w:rPr>
              <w:t>KIPP.</w:t>
            </w:r>
          </w:p>
        </w:tc>
      </w:tr>
      <w:tr>
        <w:trPr>
          <w:trHeight w:val="268"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7" w:lineRule="exact"/>
              <w:ind w:left="110"/>
              <w:rPr>
                <w:sz w:val="20"/>
              </w:rPr>
            </w:pPr>
            <w:r>
              <w:rPr>
                <w:sz w:val="20"/>
              </w:rPr>
              <w:t>Perka</w:t>
            </w:r>
            <w:r>
              <w:rPr>
                <w:spacing w:val="-8"/>
                <w:sz w:val="20"/>
              </w:rPr>
              <w:t> </w:t>
            </w:r>
            <w:r>
              <w:rPr>
                <w:sz w:val="20"/>
              </w:rPr>
              <w:t>Otorita</w:t>
            </w:r>
            <w:r>
              <w:rPr>
                <w:spacing w:val="-9"/>
                <w:sz w:val="20"/>
              </w:rPr>
              <w:t> </w:t>
            </w:r>
            <w:r>
              <w:rPr>
                <w:sz w:val="20"/>
              </w:rPr>
              <w:t>IKN</w:t>
            </w:r>
            <w:r>
              <w:rPr>
                <w:spacing w:val="-8"/>
                <w:sz w:val="20"/>
              </w:rPr>
              <w:t> </w:t>
            </w:r>
            <w:r>
              <w:rPr>
                <w:sz w:val="20"/>
              </w:rPr>
              <w:t>No.</w:t>
            </w:r>
            <w:r>
              <w:rPr>
                <w:spacing w:val="-12"/>
                <w:sz w:val="20"/>
              </w:rPr>
              <w:t> </w:t>
            </w:r>
            <w:r>
              <w:rPr>
                <w:sz w:val="20"/>
              </w:rPr>
              <w:t>2/2023</w:t>
            </w:r>
            <w:r>
              <w:rPr>
                <w:spacing w:val="-6"/>
                <w:sz w:val="20"/>
              </w:rPr>
              <w:t> </w:t>
            </w:r>
            <w:r>
              <w:rPr>
                <w:sz w:val="20"/>
              </w:rPr>
              <w:t>tentang</w:t>
            </w:r>
            <w:r>
              <w:rPr>
                <w:spacing w:val="-5"/>
                <w:sz w:val="20"/>
              </w:rPr>
              <w:t> </w:t>
            </w:r>
            <w:r>
              <w:rPr>
                <w:sz w:val="20"/>
              </w:rPr>
              <w:t>RDTR</w:t>
            </w:r>
            <w:r>
              <w:rPr>
                <w:spacing w:val="-12"/>
                <w:sz w:val="20"/>
              </w:rPr>
              <w:t> </w:t>
            </w:r>
            <w:r>
              <w:rPr>
                <w:sz w:val="20"/>
              </w:rPr>
              <w:t>WP</w:t>
            </w:r>
            <w:r>
              <w:rPr>
                <w:spacing w:val="-5"/>
                <w:sz w:val="20"/>
              </w:rPr>
              <w:t> </w:t>
            </w:r>
            <w:r>
              <w:rPr>
                <w:sz w:val="20"/>
              </w:rPr>
              <w:t>IKN</w:t>
            </w:r>
            <w:r>
              <w:rPr>
                <w:spacing w:val="-8"/>
                <w:sz w:val="20"/>
              </w:rPr>
              <w:t> </w:t>
            </w:r>
            <w:r>
              <w:rPr>
                <w:spacing w:val="-2"/>
                <w:sz w:val="20"/>
              </w:rPr>
              <w:t>Barat.</w:t>
            </w:r>
          </w:p>
        </w:tc>
      </w:tr>
      <w:tr>
        <w:trPr>
          <w:trHeight w:val="263"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4" w:lineRule="exact"/>
              <w:ind w:left="110"/>
              <w:rPr>
                <w:sz w:val="20"/>
              </w:rPr>
            </w:pPr>
            <w:r>
              <w:rPr>
                <w:sz w:val="20"/>
              </w:rPr>
              <w:t>Perka</w:t>
            </w:r>
            <w:r>
              <w:rPr>
                <w:spacing w:val="-11"/>
                <w:sz w:val="20"/>
              </w:rPr>
              <w:t> </w:t>
            </w:r>
            <w:r>
              <w:rPr>
                <w:sz w:val="20"/>
              </w:rPr>
              <w:t>Otorita</w:t>
            </w:r>
            <w:r>
              <w:rPr>
                <w:spacing w:val="-9"/>
                <w:sz w:val="20"/>
              </w:rPr>
              <w:t> </w:t>
            </w:r>
            <w:r>
              <w:rPr>
                <w:sz w:val="20"/>
              </w:rPr>
              <w:t>IKN</w:t>
            </w:r>
            <w:r>
              <w:rPr>
                <w:spacing w:val="-5"/>
                <w:sz w:val="20"/>
              </w:rPr>
              <w:t> </w:t>
            </w:r>
            <w:r>
              <w:rPr>
                <w:sz w:val="20"/>
              </w:rPr>
              <w:t>No.</w:t>
            </w:r>
            <w:r>
              <w:rPr>
                <w:spacing w:val="-13"/>
                <w:sz w:val="20"/>
              </w:rPr>
              <w:t> </w:t>
            </w:r>
            <w:r>
              <w:rPr>
                <w:sz w:val="20"/>
              </w:rPr>
              <w:t>3/2023</w:t>
            </w:r>
            <w:r>
              <w:rPr>
                <w:spacing w:val="-2"/>
                <w:sz w:val="20"/>
              </w:rPr>
              <w:t> </w:t>
            </w:r>
            <w:r>
              <w:rPr>
                <w:sz w:val="20"/>
              </w:rPr>
              <w:t>tentang</w:t>
            </w:r>
            <w:r>
              <w:rPr>
                <w:spacing w:val="-10"/>
                <w:sz w:val="20"/>
              </w:rPr>
              <w:t> </w:t>
            </w:r>
            <w:r>
              <w:rPr>
                <w:sz w:val="20"/>
              </w:rPr>
              <w:t>RDTR</w:t>
            </w:r>
            <w:r>
              <w:rPr>
                <w:spacing w:val="-9"/>
                <w:sz w:val="20"/>
              </w:rPr>
              <w:t> </w:t>
            </w:r>
            <w:r>
              <w:rPr>
                <w:sz w:val="20"/>
              </w:rPr>
              <w:t>WP</w:t>
            </w:r>
            <w:r>
              <w:rPr>
                <w:spacing w:val="-1"/>
                <w:sz w:val="20"/>
              </w:rPr>
              <w:t> </w:t>
            </w:r>
            <w:r>
              <w:rPr>
                <w:sz w:val="20"/>
              </w:rPr>
              <w:t>IKN</w:t>
            </w:r>
            <w:r>
              <w:rPr>
                <w:spacing w:val="-10"/>
                <w:sz w:val="20"/>
              </w:rPr>
              <w:t> </w:t>
            </w:r>
            <w:r>
              <w:rPr>
                <w:sz w:val="20"/>
              </w:rPr>
              <w:t>Timur</w:t>
            </w:r>
            <w:r>
              <w:rPr>
                <w:spacing w:val="-5"/>
                <w:sz w:val="20"/>
              </w:rPr>
              <w:t> I.</w:t>
            </w:r>
          </w:p>
        </w:tc>
      </w:tr>
      <w:tr>
        <w:trPr>
          <w:trHeight w:val="263"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4" w:lineRule="exact"/>
              <w:ind w:left="110"/>
              <w:rPr>
                <w:sz w:val="20"/>
              </w:rPr>
            </w:pPr>
            <w:r>
              <w:rPr>
                <w:sz w:val="20"/>
              </w:rPr>
              <w:t>Perka</w:t>
            </w:r>
            <w:r>
              <w:rPr>
                <w:spacing w:val="-10"/>
                <w:sz w:val="20"/>
              </w:rPr>
              <w:t> </w:t>
            </w:r>
            <w:r>
              <w:rPr>
                <w:sz w:val="20"/>
              </w:rPr>
              <w:t>Otorita</w:t>
            </w:r>
            <w:r>
              <w:rPr>
                <w:spacing w:val="-9"/>
                <w:sz w:val="20"/>
              </w:rPr>
              <w:t> </w:t>
            </w:r>
            <w:r>
              <w:rPr>
                <w:sz w:val="20"/>
              </w:rPr>
              <w:t>IKN</w:t>
            </w:r>
            <w:r>
              <w:rPr>
                <w:spacing w:val="-5"/>
                <w:sz w:val="20"/>
              </w:rPr>
              <w:t> </w:t>
            </w:r>
            <w:r>
              <w:rPr>
                <w:sz w:val="20"/>
              </w:rPr>
              <w:t>No.</w:t>
            </w:r>
            <w:r>
              <w:rPr>
                <w:spacing w:val="-11"/>
                <w:sz w:val="20"/>
              </w:rPr>
              <w:t> </w:t>
            </w:r>
            <w:r>
              <w:rPr>
                <w:sz w:val="20"/>
              </w:rPr>
              <w:t>4/2023</w:t>
            </w:r>
            <w:r>
              <w:rPr>
                <w:spacing w:val="-6"/>
                <w:sz w:val="20"/>
              </w:rPr>
              <w:t> </w:t>
            </w:r>
            <w:r>
              <w:rPr>
                <w:sz w:val="20"/>
              </w:rPr>
              <w:t>tentang</w:t>
            </w:r>
            <w:r>
              <w:rPr>
                <w:spacing w:val="-5"/>
                <w:sz w:val="20"/>
              </w:rPr>
              <w:t> </w:t>
            </w:r>
            <w:r>
              <w:rPr>
                <w:sz w:val="20"/>
              </w:rPr>
              <w:t>RDTR</w:t>
            </w:r>
            <w:r>
              <w:rPr>
                <w:spacing w:val="-8"/>
                <w:sz w:val="20"/>
              </w:rPr>
              <w:t> </w:t>
            </w:r>
            <w:r>
              <w:rPr>
                <w:sz w:val="20"/>
              </w:rPr>
              <w:t>WP</w:t>
            </w:r>
            <w:r>
              <w:rPr>
                <w:spacing w:val="-5"/>
                <w:sz w:val="20"/>
              </w:rPr>
              <w:t> </w:t>
            </w:r>
            <w:r>
              <w:rPr>
                <w:sz w:val="20"/>
              </w:rPr>
              <w:t>IKN</w:t>
            </w:r>
            <w:r>
              <w:rPr>
                <w:spacing w:val="-9"/>
                <w:sz w:val="20"/>
              </w:rPr>
              <w:t> </w:t>
            </w:r>
            <w:r>
              <w:rPr>
                <w:sz w:val="20"/>
              </w:rPr>
              <w:t>Timur</w:t>
            </w:r>
            <w:r>
              <w:rPr>
                <w:spacing w:val="-5"/>
                <w:sz w:val="20"/>
              </w:rPr>
              <w:t> II.</w:t>
            </w:r>
          </w:p>
        </w:tc>
      </w:tr>
      <w:tr>
        <w:trPr>
          <w:trHeight w:val="268"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9" w:lineRule="exact"/>
              <w:ind w:left="110"/>
              <w:rPr>
                <w:sz w:val="20"/>
              </w:rPr>
            </w:pPr>
            <w:r>
              <w:rPr>
                <w:sz w:val="20"/>
              </w:rPr>
              <w:t>Perka</w:t>
            </w:r>
            <w:r>
              <w:rPr>
                <w:spacing w:val="-15"/>
                <w:sz w:val="20"/>
              </w:rPr>
              <w:t> </w:t>
            </w:r>
            <w:r>
              <w:rPr>
                <w:sz w:val="20"/>
              </w:rPr>
              <w:t>Otorita</w:t>
            </w:r>
            <w:r>
              <w:rPr>
                <w:spacing w:val="-7"/>
                <w:sz w:val="20"/>
              </w:rPr>
              <w:t> </w:t>
            </w:r>
            <w:r>
              <w:rPr>
                <w:sz w:val="20"/>
              </w:rPr>
              <w:t>IKN</w:t>
            </w:r>
            <w:r>
              <w:rPr>
                <w:spacing w:val="-9"/>
                <w:sz w:val="20"/>
              </w:rPr>
              <w:t> </w:t>
            </w:r>
            <w:r>
              <w:rPr>
                <w:sz w:val="20"/>
              </w:rPr>
              <w:t>No.</w:t>
            </w:r>
            <w:r>
              <w:rPr>
                <w:spacing w:val="-12"/>
                <w:sz w:val="20"/>
              </w:rPr>
              <w:t> </w:t>
            </w:r>
            <w:r>
              <w:rPr>
                <w:sz w:val="20"/>
              </w:rPr>
              <w:t>5/2023</w:t>
            </w:r>
            <w:r>
              <w:rPr>
                <w:spacing w:val="-5"/>
                <w:sz w:val="20"/>
              </w:rPr>
              <w:t> </w:t>
            </w:r>
            <w:r>
              <w:rPr>
                <w:sz w:val="20"/>
              </w:rPr>
              <w:t>tentang</w:t>
            </w:r>
            <w:r>
              <w:rPr>
                <w:spacing w:val="-9"/>
                <w:sz w:val="20"/>
              </w:rPr>
              <w:t> </w:t>
            </w:r>
            <w:r>
              <w:rPr>
                <w:sz w:val="20"/>
              </w:rPr>
              <w:t>RDTR</w:t>
            </w:r>
            <w:r>
              <w:rPr>
                <w:spacing w:val="-8"/>
                <w:sz w:val="20"/>
              </w:rPr>
              <w:t> </w:t>
            </w:r>
            <w:r>
              <w:rPr>
                <w:sz w:val="20"/>
              </w:rPr>
              <w:t>WP</w:t>
            </w:r>
            <w:r>
              <w:rPr>
                <w:spacing w:val="-5"/>
                <w:sz w:val="20"/>
              </w:rPr>
              <w:t> </w:t>
            </w:r>
            <w:r>
              <w:rPr>
                <w:sz w:val="20"/>
              </w:rPr>
              <w:t>IKN</w:t>
            </w:r>
            <w:r>
              <w:rPr>
                <w:spacing w:val="-4"/>
                <w:sz w:val="20"/>
              </w:rPr>
              <w:t> </w:t>
            </w:r>
            <w:r>
              <w:rPr>
                <w:spacing w:val="-2"/>
                <w:sz w:val="20"/>
              </w:rPr>
              <w:t>Selatan.</w:t>
            </w:r>
          </w:p>
        </w:tc>
      </w:tr>
      <w:tr>
        <w:trPr>
          <w:trHeight w:val="263"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4" w:lineRule="exact"/>
              <w:ind w:left="110"/>
              <w:rPr>
                <w:sz w:val="20"/>
              </w:rPr>
            </w:pPr>
            <w:r>
              <w:rPr>
                <w:sz w:val="20"/>
              </w:rPr>
              <w:t>Perka</w:t>
            </w:r>
            <w:r>
              <w:rPr>
                <w:spacing w:val="-9"/>
                <w:sz w:val="20"/>
              </w:rPr>
              <w:t> </w:t>
            </w:r>
            <w:r>
              <w:rPr>
                <w:sz w:val="20"/>
              </w:rPr>
              <w:t>Otorita</w:t>
            </w:r>
            <w:r>
              <w:rPr>
                <w:spacing w:val="-9"/>
                <w:sz w:val="20"/>
              </w:rPr>
              <w:t> </w:t>
            </w:r>
            <w:r>
              <w:rPr>
                <w:sz w:val="20"/>
              </w:rPr>
              <w:t>IKN</w:t>
            </w:r>
            <w:r>
              <w:rPr>
                <w:spacing w:val="-4"/>
                <w:sz w:val="20"/>
              </w:rPr>
              <w:t> </w:t>
            </w:r>
            <w:r>
              <w:rPr>
                <w:sz w:val="20"/>
              </w:rPr>
              <w:t>No.</w:t>
            </w:r>
            <w:r>
              <w:rPr>
                <w:spacing w:val="-12"/>
                <w:sz w:val="20"/>
              </w:rPr>
              <w:t> </w:t>
            </w:r>
            <w:r>
              <w:rPr>
                <w:sz w:val="20"/>
              </w:rPr>
              <w:t>6/2023</w:t>
            </w:r>
            <w:r>
              <w:rPr>
                <w:spacing w:val="-6"/>
                <w:sz w:val="20"/>
              </w:rPr>
              <w:t> </w:t>
            </w:r>
            <w:r>
              <w:rPr>
                <w:sz w:val="20"/>
              </w:rPr>
              <w:t>tentang</w:t>
            </w:r>
            <w:r>
              <w:rPr>
                <w:spacing w:val="-6"/>
                <w:sz w:val="20"/>
              </w:rPr>
              <w:t> </w:t>
            </w:r>
            <w:r>
              <w:rPr>
                <w:sz w:val="20"/>
              </w:rPr>
              <w:t>RDTR</w:t>
            </w:r>
            <w:r>
              <w:rPr>
                <w:spacing w:val="-8"/>
                <w:sz w:val="20"/>
              </w:rPr>
              <w:t> </w:t>
            </w:r>
            <w:r>
              <w:rPr>
                <w:sz w:val="20"/>
              </w:rPr>
              <w:t>WP</w:t>
            </w:r>
            <w:r>
              <w:rPr>
                <w:spacing w:val="-5"/>
                <w:sz w:val="20"/>
              </w:rPr>
              <w:t> </w:t>
            </w:r>
            <w:r>
              <w:rPr>
                <w:sz w:val="20"/>
              </w:rPr>
              <w:t>IKN</w:t>
            </w:r>
            <w:r>
              <w:rPr>
                <w:spacing w:val="-9"/>
                <w:sz w:val="20"/>
              </w:rPr>
              <w:t> </w:t>
            </w:r>
            <w:r>
              <w:rPr>
                <w:spacing w:val="-2"/>
                <w:sz w:val="20"/>
              </w:rPr>
              <w:t>Utara.</w:t>
            </w:r>
          </w:p>
        </w:tc>
      </w:tr>
      <w:tr>
        <w:trPr>
          <w:trHeight w:val="268"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8" w:lineRule="exact"/>
              <w:ind w:left="110"/>
              <w:rPr>
                <w:sz w:val="20"/>
              </w:rPr>
            </w:pPr>
            <w:r>
              <w:rPr>
                <w:sz w:val="20"/>
              </w:rPr>
              <w:t>Perka</w:t>
            </w:r>
            <w:r>
              <w:rPr>
                <w:spacing w:val="-16"/>
                <w:sz w:val="20"/>
              </w:rPr>
              <w:t> </w:t>
            </w:r>
            <w:r>
              <w:rPr>
                <w:sz w:val="20"/>
              </w:rPr>
              <w:t>Otorita</w:t>
            </w:r>
            <w:r>
              <w:rPr>
                <w:spacing w:val="-13"/>
                <w:sz w:val="20"/>
              </w:rPr>
              <w:t> </w:t>
            </w:r>
            <w:r>
              <w:rPr>
                <w:sz w:val="20"/>
              </w:rPr>
              <w:t>IKN</w:t>
            </w:r>
            <w:r>
              <w:rPr>
                <w:spacing w:val="-10"/>
                <w:sz w:val="20"/>
              </w:rPr>
              <w:t> </w:t>
            </w:r>
            <w:r>
              <w:rPr>
                <w:sz w:val="20"/>
              </w:rPr>
              <w:t>No.</w:t>
            </w:r>
            <w:r>
              <w:rPr>
                <w:spacing w:val="-14"/>
                <w:sz w:val="20"/>
              </w:rPr>
              <w:t> </w:t>
            </w:r>
            <w:r>
              <w:rPr>
                <w:sz w:val="20"/>
              </w:rPr>
              <w:t>7/2023</w:t>
            </w:r>
            <w:r>
              <w:rPr>
                <w:spacing w:val="-11"/>
                <w:sz w:val="20"/>
              </w:rPr>
              <w:t> </w:t>
            </w:r>
            <w:r>
              <w:rPr>
                <w:sz w:val="20"/>
              </w:rPr>
              <w:t>tentang</w:t>
            </w:r>
            <w:r>
              <w:rPr>
                <w:spacing w:val="-11"/>
                <w:sz w:val="20"/>
              </w:rPr>
              <w:t> </w:t>
            </w:r>
            <w:r>
              <w:rPr>
                <w:sz w:val="20"/>
              </w:rPr>
              <w:t>RDTR</w:t>
            </w:r>
            <w:r>
              <w:rPr>
                <w:spacing w:val="-13"/>
                <w:sz w:val="20"/>
              </w:rPr>
              <w:t> </w:t>
            </w:r>
            <w:r>
              <w:rPr>
                <w:sz w:val="20"/>
              </w:rPr>
              <w:t>WP</w:t>
            </w:r>
            <w:r>
              <w:rPr>
                <w:spacing w:val="-10"/>
                <w:sz w:val="20"/>
              </w:rPr>
              <w:t> </w:t>
            </w:r>
            <w:r>
              <w:rPr>
                <w:sz w:val="20"/>
              </w:rPr>
              <w:t>Simpang</w:t>
            </w:r>
            <w:r>
              <w:rPr>
                <w:spacing w:val="-7"/>
                <w:sz w:val="20"/>
              </w:rPr>
              <w:t> </w:t>
            </w:r>
            <w:r>
              <w:rPr>
                <w:spacing w:val="-2"/>
                <w:sz w:val="20"/>
              </w:rPr>
              <w:t>Samboja.</w:t>
            </w:r>
          </w:p>
        </w:tc>
      </w:tr>
      <w:tr>
        <w:trPr>
          <w:trHeight w:val="263" w:hRule="atLeast"/>
        </w:trPr>
        <w:tc>
          <w:tcPr>
            <w:tcW w:w="1839" w:type="dxa"/>
            <w:shd w:val="clear" w:color="auto" w:fill="DBE3EF"/>
          </w:tcPr>
          <w:p>
            <w:pPr>
              <w:pStyle w:val="TableParagraph"/>
              <w:rPr>
                <w:rFonts w:ascii="Times New Roman"/>
                <w:sz w:val="18"/>
              </w:rPr>
            </w:pPr>
          </w:p>
        </w:tc>
        <w:tc>
          <w:tcPr>
            <w:tcW w:w="6094" w:type="dxa"/>
            <w:shd w:val="clear" w:color="auto" w:fill="DBE3EF"/>
          </w:tcPr>
          <w:p>
            <w:pPr>
              <w:pStyle w:val="TableParagraph"/>
              <w:spacing w:line="244" w:lineRule="exact"/>
              <w:ind w:left="110"/>
              <w:rPr>
                <w:sz w:val="20"/>
              </w:rPr>
            </w:pPr>
            <w:r>
              <w:rPr>
                <w:sz w:val="20"/>
              </w:rPr>
              <w:t>Perka</w:t>
            </w:r>
            <w:r>
              <w:rPr>
                <w:spacing w:val="-15"/>
                <w:sz w:val="20"/>
              </w:rPr>
              <w:t> </w:t>
            </w:r>
            <w:r>
              <w:rPr>
                <w:sz w:val="20"/>
              </w:rPr>
              <w:t>Otorita</w:t>
            </w:r>
            <w:r>
              <w:rPr>
                <w:spacing w:val="-9"/>
                <w:sz w:val="20"/>
              </w:rPr>
              <w:t> </w:t>
            </w:r>
            <w:r>
              <w:rPr>
                <w:sz w:val="20"/>
              </w:rPr>
              <w:t>IKN</w:t>
            </w:r>
            <w:r>
              <w:rPr>
                <w:spacing w:val="-9"/>
                <w:sz w:val="20"/>
              </w:rPr>
              <w:t> </w:t>
            </w:r>
            <w:r>
              <w:rPr>
                <w:sz w:val="20"/>
              </w:rPr>
              <w:t>No.</w:t>
            </w:r>
            <w:r>
              <w:rPr>
                <w:spacing w:val="-13"/>
                <w:sz w:val="20"/>
              </w:rPr>
              <w:t> </w:t>
            </w:r>
            <w:r>
              <w:rPr>
                <w:sz w:val="20"/>
              </w:rPr>
              <w:t>8/2023</w:t>
            </w:r>
            <w:r>
              <w:rPr>
                <w:spacing w:val="-6"/>
                <w:sz w:val="20"/>
              </w:rPr>
              <w:t> </w:t>
            </w:r>
            <w:r>
              <w:rPr>
                <w:sz w:val="20"/>
              </w:rPr>
              <w:t>tentang</w:t>
            </w:r>
            <w:r>
              <w:rPr>
                <w:spacing w:val="-10"/>
                <w:sz w:val="20"/>
              </w:rPr>
              <w:t> </w:t>
            </w:r>
            <w:r>
              <w:rPr>
                <w:sz w:val="20"/>
              </w:rPr>
              <w:t>RDTR</w:t>
            </w:r>
            <w:r>
              <w:rPr>
                <w:spacing w:val="-8"/>
                <w:sz w:val="20"/>
              </w:rPr>
              <w:t> </w:t>
            </w:r>
            <w:r>
              <w:rPr>
                <w:sz w:val="20"/>
              </w:rPr>
              <w:t>WP</w:t>
            </w:r>
            <w:r>
              <w:rPr>
                <w:spacing w:val="-1"/>
                <w:sz w:val="20"/>
              </w:rPr>
              <w:t> </w:t>
            </w:r>
            <w:r>
              <w:rPr>
                <w:sz w:val="20"/>
              </w:rPr>
              <w:t>Kuala</w:t>
            </w:r>
            <w:r>
              <w:rPr>
                <w:spacing w:val="-9"/>
                <w:sz w:val="20"/>
              </w:rPr>
              <w:t> </w:t>
            </w:r>
            <w:r>
              <w:rPr>
                <w:spacing w:val="-2"/>
                <w:sz w:val="20"/>
              </w:rPr>
              <w:t>Samboja.</w:t>
            </w:r>
          </w:p>
        </w:tc>
      </w:tr>
      <w:tr>
        <w:trPr>
          <w:trHeight w:val="1334" w:hRule="atLeast"/>
        </w:trPr>
        <w:tc>
          <w:tcPr>
            <w:tcW w:w="1839" w:type="dxa"/>
            <w:shd w:val="clear" w:color="auto" w:fill="DBE3EF"/>
          </w:tcPr>
          <w:p>
            <w:pPr>
              <w:pStyle w:val="TableParagraph"/>
              <w:spacing w:line="237" w:lineRule="auto" w:before="7"/>
              <w:ind w:left="110"/>
              <w:rPr>
                <w:sz w:val="20"/>
              </w:rPr>
            </w:pPr>
            <w:r>
              <w:rPr>
                <w:sz w:val="20"/>
              </w:rPr>
              <w:t>Peraturan</w:t>
            </w:r>
            <w:r>
              <w:rPr>
                <w:spacing w:val="-14"/>
                <w:sz w:val="20"/>
              </w:rPr>
              <w:t> </w:t>
            </w:r>
            <w:r>
              <w:rPr>
                <w:sz w:val="20"/>
              </w:rPr>
              <w:t>Menteri </w:t>
            </w:r>
            <w:r>
              <w:rPr>
                <w:spacing w:val="-2"/>
                <w:sz w:val="20"/>
              </w:rPr>
              <w:t>(Permen)</w:t>
            </w:r>
          </w:p>
        </w:tc>
        <w:tc>
          <w:tcPr>
            <w:tcW w:w="6094" w:type="dxa"/>
            <w:shd w:val="clear" w:color="auto" w:fill="DBE3EF"/>
          </w:tcPr>
          <w:p>
            <w:pPr>
              <w:pStyle w:val="TableParagraph"/>
              <w:spacing w:line="237" w:lineRule="auto" w:before="7"/>
              <w:ind w:left="110" w:right="78"/>
              <w:jc w:val="both"/>
              <w:rPr>
                <w:sz w:val="20"/>
              </w:rPr>
            </w:pPr>
            <w:r>
              <w:rPr>
                <w:sz w:val="20"/>
              </w:rPr>
              <w:t>Permenkeu</w:t>
            </w:r>
            <w:r>
              <w:rPr>
                <w:spacing w:val="-14"/>
                <w:sz w:val="20"/>
              </w:rPr>
              <w:t> </w:t>
            </w:r>
            <w:r>
              <w:rPr>
                <w:sz w:val="20"/>
              </w:rPr>
              <w:t>No.</w:t>
            </w:r>
            <w:r>
              <w:rPr>
                <w:spacing w:val="-14"/>
                <w:sz w:val="20"/>
              </w:rPr>
              <w:t> </w:t>
            </w:r>
            <w:r>
              <w:rPr>
                <w:sz w:val="20"/>
              </w:rPr>
              <w:t>139/PMK.08/2022</w:t>
            </w:r>
            <w:r>
              <w:rPr>
                <w:spacing w:val="-14"/>
                <w:sz w:val="20"/>
              </w:rPr>
              <w:t> </w:t>
            </w:r>
            <w:r>
              <w:rPr>
                <w:sz w:val="20"/>
              </w:rPr>
              <w:t>tentang</w:t>
            </w:r>
            <w:r>
              <w:rPr>
                <w:spacing w:val="-13"/>
                <w:sz w:val="20"/>
              </w:rPr>
              <w:t> </w:t>
            </w:r>
            <w:r>
              <w:rPr>
                <w:sz w:val="20"/>
              </w:rPr>
              <w:t>Fasilitas</w:t>
            </w:r>
            <w:r>
              <w:rPr>
                <w:spacing w:val="-14"/>
                <w:sz w:val="20"/>
              </w:rPr>
              <w:t> </w:t>
            </w:r>
            <w:r>
              <w:rPr>
                <w:sz w:val="20"/>
              </w:rPr>
              <w:t>untukPenyiapan dan Pelaksanaan Transaksi Pemanfaatan Barang Milik Negara dan/atau Pemindahtanganan Barang Milik Negara dalam</w:t>
            </w:r>
          </w:p>
          <w:p>
            <w:pPr>
              <w:pStyle w:val="TableParagraph"/>
              <w:spacing w:line="264" w:lineRule="exact"/>
              <w:ind w:left="110" w:right="88"/>
              <w:jc w:val="both"/>
              <w:rPr>
                <w:sz w:val="20"/>
              </w:rPr>
            </w:pPr>
            <w:r>
              <w:rPr>
                <w:sz w:val="20"/>
              </w:rPr>
              <w:t>Rangka Persiapan, Pembangunan, dan Pemindahan Ibu Kota </w:t>
            </w:r>
            <w:r>
              <w:rPr>
                <w:spacing w:val="-2"/>
                <w:sz w:val="20"/>
              </w:rPr>
              <w:t>Negara.</w:t>
            </w:r>
          </w:p>
        </w:tc>
      </w:tr>
      <w:tr>
        <w:trPr>
          <w:trHeight w:val="1060"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tabs>
                <w:tab w:pos="1392" w:val="left" w:leader="none"/>
                <w:tab w:pos="2170" w:val="left" w:leader="none"/>
                <w:tab w:pos="2924" w:val="left" w:leader="none"/>
                <w:tab w:pos="3783" w:val="left" w:leader="none"/>
                <w:tab w:pos="4979" w:val="left" w:leader="none"/>
              </w:tabs>
              <w:spacing w:line="264" w:lineRule="exact"/>
              <w:ind w:left="110" w:right="96"/>
              <w:rPr>
                <w:sz w:val="20"/>
              </w:rPr>
            </w:pPr>
            <w:r>
              <w:rPr>
                <w:sz w:val="20"/>
              </w:rPr>
              <w:t>Permenkeu No. 220/PMK.08/2022 tentang Dukungan Pemerintah untuk Kerja Sama Pemerintah dengan Badan Usaha serta </w:t>
            </w:r>
            <w:r>
              <w:rPr>
                <w:spacing w:val="-2"/>
                <w:sz w:val="20"/>
              </w:rPr>
              <w:t>Pembiayaan</w:t>
            </w:r>
            <w:r>
              <w:rPr>
                <w:sz w:val="20"/>
              </w:rPr>
              <w:tab/>
            </w:r>
            <w:r>
              <w:rPr>
                <w:spacing w:val="-2"/>
                <w:sz w:val="20"/>
              </w:rPr>
              <w:t>Kreatif</w:t>
            </w:r>
            <w:r>
              <w:rPr>
                <w:sz w:val="20"/>
              </w:rPr>
              <w:tab/>
            </w:r>
            <w:r>
              <w:rPr>
                <w:spacing w:val="-4"/>
                <w:sz w:val="20"/>
              </w:rPr>
              <w:t>dalam</w:t>
            </w:r>
            <w:r>
              <w:rPr>
                <w:sz w:val="20"/>
              </w:rPr>
              <w:tab/>
            </w:r>
            <w:r>
              <w:rPr>
                <w:spacing w:val="-2"/>
                <w:sz w:val="20"/>
              </w:rPr>
              <w:t>Rangka</w:t>
            </w:r>
            <w:r>
              <w:rPr>
                <w:sz w:val="20"/>
              </w:rPr>
              <w:tab/>
            </w:r>
            <w:r>
              <w:rPr>
                <w:spacing w:val="-2"/>
                <w:sz w:val="20"/>
              </w:rPr>
              <w:t>Percepatan</w:t>
            </w:r>
            <w:r>
              <w:rPr>
                <w:sz w:val="20"/>
              </w:rPr>
              <w:tab/>
            </w:r>
            <w:r>
              <w:rPr>
                <w:spacing w:val="-2"/>
                <w:sz w:val="20"/>
              </w:rPr>
              <w:t>Penyediaan </w:t>
            </w:r>
            <w:r>
              <w:rPr>
                <w:sz w:val="20"/>
              </w:rPr>
              <w:t>Infrastruktur di Ibu Kota Nusantara.</w:t>
            </w:r>
          </w:p>
        </w:tc>
      </w:tr>
      <w:tr>
        <w:trPr>
          <w:trHeight w:val="801" w:hRule="atLeast"/>
        </w:trPr>
        <w:tc>
          <w:tcPr>
            <w:tcW w:w="1839" w:type="dxa"/>
            <w:shd w:val="clear" w:color="auto" w:fill="DBE3EF"/>
          </w:tcPr>
          <w:p>
            <w:pPr>
              <w:pStyle w:val="TableParagraph"/>
              <w:rPr>
                <w:rFonts w:ascii="Times New Roman"/>
                <w:sz w:val="20"/>
              </w:rPr>
            </w:pPr>
          </w:p>
        </w:tc>
        <w:tc>
          <w:tcPr>
            <w:tcW w:w="6094" w:type="dxa"/>
            <w:shd w:val="clear" w:color="auto" w:fill="DBE3EF"/>
          </w:tcPr>
          <w:p>
            <w:pPr>
              <w:pStyle w:val="TableParagraph"/>
              <w:spacing w:line="262" w:lineRule="exact"/>
              <w:ind w:left="110"/>
              <w:rPr>
                <w:sz w:val="20"/>
              </w:rPr>
            </w:pPr>
            <w:r>
              <w:rPr>
                <w:sz w:val="20"/>
              </w:rPr>
              <w:t>PermenPPN/Kepala</w:t>
            </w:r>
            <w:r>
              <w:rPr>
                <w:spacing w:val="27"/>
                <w:sz w:val="20"/>
              </w:rPr>
              <w:t>  </w:t>
            </w:r>
            <w:r>
              <w:rPr>
                <w:sz w:val="20"/>
              </w:rPr>
              <w:t>Bappeas</w:t>
            </w:r>
            <w:r>
              <w:rPr>
                <w:spacing w:val="28"/>
                <w:sz w:val="20"/>
              </w:rPr>
              <w:t>  </w:t>
            </w:r>
            <w:r>
              <w:rPr>
                <w:sz w:val="20"/>
              </w:rPr>
              <w:t>No.</w:t>
            </w:r>
            <w:r>
              <w:rPr>
                <w:spacing w:val="77"/>
                <w:w w:val="150"/>
                <w:sz w:val="20"/>
              </w:rPr>
              <w:t> </w:t>
            </w:r>
            <w:r>
              <w:rPr>
                <w:sz w:val="20"/>
              </w:rPr>
              <w:t>6/2022</w:t>
            </w:r>
            <w:r>
              <w:rPr>
                <w:spacing w:val="28"/>
                <w:sz w:val="20"/>
              </w:rPr>
              <w:t>  </w:t>
            </w:r>
            <w:r>
              <w:rPr>
                <w:sz w:val="20"/>
              </w:rPr>
              <w:t>tentang</w:t>
            </w:r>
            <w:r>
              <w:rPr>
                <w:spacing w:val="79"/>
                <w:w w:val="150"/>
                <w:sz w:val="20"/>
              </w:rPr>
              <w:t> </w:t>
            </w:r>
            <w:r>
              <w:rPr>
                <w:sz w:val="20"/>
              </w:rPr>
              <w:t>Tata</w:t>
            </w:r>
            <w:r>
              <w:rPr>
                <w:spacing w:val="27"/>
                <w:sz w:val="20"/>
              </w:rPr>
              <w:t>  </w:t>
            </w:r>
            <w:r>
              <w:rPr>
                <w:spacing w:val="-4"/>
                <w:sz w:val="20"/>
              </w:rPr>
              <w:t>Cara</w:t>
            </w:r>
          </w:p>
          <w:p>
            <w:pPr>
              <w:pStyle w:val="TableParagraph"/>
              <w:spacing w:line="264" w:lineRule="exact"/>
              <w:ind w:left="110"/>
              <w:rPr>
                <w:sz w:val="20"/>
              </w:rPr>
            </w:pPr>
            <w:r>
              <w:rPr>
                <w:sz w:val="20"/>
              </w:rPr>
              <w:t>Pelaksanaan Kerja Sama Pemerintah dan Badan Usaha di Ibu Kota </w:t>
            </w:r>
            <w:r>
              <w:rPr>
                <w:spacing w:val="-2"/>
                <w:sz w:val="20"/>
              </w:rPr>
              <w:t>Nusantara.</w:t>
            </w:r>
          </w:p>
        </w:tc>
      </w:tr>
      <w:tr>
        <w:trPr>
          <w:trHeight w:val="1060" w:hRule="atLeast"/>
        </w:trPr>
        <w:tc>
          <w:tcPr>
            <w:tcW w:w="1839" w:type="dxa"/>
            <w:shd w:val="clear" w:color="auto" w:fill="DBE3EF"/>
          </w:tcPr>
          <w:p>
            <w:pPr>
              <w:pStyle w:val="TableParagraph"/>
              <w:spacing w:line="237" w:lineRule="auto" w:before="2"/>
              <w:ind w:left="110"/>
              <w:rPr>
                <w:sz w:val="20"/>
              </w:rPr>
            </w:pPr>
            <w:r>
              <w:rPr>
                <w:sz w:val="20"/>
              </w:rPr>
              <w:t>Peraturan</w:t>
            </w:r>
            <w:r>
              <w:rPr>
                <w:spacing w:val="-14"/>
                <w:sz w:val="20"/>
              </w:rPr>
              <w:t> </w:t>
            </w:r>
            <w:r>
              <w:rPr>
                <w:sz w:val="20"/>
              </w:rPr>
              <w:t>Kepala </w:t>
            </w:r>
            <w:r>
              <w:rPr>
                <w:spacing w:val="-2"/>
                <w:sz w:val="20"/>
              </w:rPr>
              <w:t>Lembaga</w:t>
            </w:r>
          </w:p>
        </w:tc>
        <w:tc>
          <w:tcPr>
            <w:tcW w:w="6094" w:type="dxa"/>
            <w:shd w:val="clear" w:color="auto" w:fill="DBE3EF"/>
          </w:tcPr>
          <w:p>
            <w:pPr>
              <w:pStyle w:val="TableParagraph"/>
              <w:spacing w:line="232" w:lineRule="auto" w:before="6"/>
              <w:ind w:left="110" w:right="84"/>
              <w:jc w:val="both"/>
              <w:rPr>
                <w:sz w:val="20"/>
              </w:rPr>
            </w:pPr>
            <w:r>
              <w:rPr>
                <w:sz w:val="20"/>
              </w:rPr>
              <w:t>Peraturan Kepala Lembaga Kebijakan Pengadaan Barang/Jasa Pemerintah Nomor 1 Tahun 2023 tentang Tata Cara Pengadaan Badan Usaha</w:t>
            </w:r>
            <w:r>
              <w:rPr>
                <w:spacing w:val="-7"/>
                <w:sz w:val="20"/>
              </w:rPr>
              <w:t> </w:t>
            </w:r>
            <w:r>
              <w:rPr>
                <w:sz w:val="20"/>
              </w:rPr>
              <w:t>Melalui</w:t>
            </w:r>
            <w:r>
              <w:rPr>
                <w:spacing w:val="-1"/>
                <w:sz w:val="20"/>
              </w:rPr>
              <w:t> </w:t>
            </w:r>
            <w:r>
              <w:rPr>
                <w:sz w:val="20"/>
              </w:rPr>
              <w:t>Kerja Sama</w:t>
            </w:r>
            <w:r>
              <w:rPr>
                <w:spacing w:val="-2"/>
                <w:sz w:val="20"/>
              </w:rPr>
              <w:t> </w:t>
            </w:r>
            <w:r>
              <w:rPr>
                <w:sz w:val="20"/>
              </w:rPr>
              <w:t>Pemerintah dengan Badan Usaha di Ibu Kota Nusantara.</w:t>
            </w:r>
          </w:p>
        </w:tc>
      </w:tr>
      <w:tr>
        <w:trPr>
          <w:trHeight w:val="1329" w:hRule="atLeast"/>
        </w:trPr>
        <w:tc>
          <w:tcPr>
            <w:tcW w:w="1839" w:type="dxa"/>
            <w:shd w:val="clear" w:color="auto" w:fill="DBE3EF"/>
          </w:tcPr>
          <w:p>
            <w:pPr>
              <w:pStyle w:val="TableParagraph"/>
              <w:tabs>
                <w:tab w:pos="1128" w:val="left" w:leader="none"/>
              </w:tabs>
              <w:spacing w:line="242" w:lineRule="auto"/>
              <w:ind w:left="110" w:right="95"/>
              <w:rPr>
                <w:sz w:val="20"/>
              </w:rPr>
            </w:pPr>
            <w:r>
              <w:rPr>
                <w:spacing w:val="-2"/>
                <w:sz w:val="20"/>
              </w:rPr>
              <w:t>Surat</w:t>
            </w:r>
            <w:r>
              <w:rPr>
                <w:sz w:val="20"/>
              </w:rPr>
              <w:tab/>
            </w:r>
            <w:r>
              <w:rPr>
                <w:spacing w:val="-2"/>
                <w:sz w:val="20"/>
              </w:rPr>
              <w:t>Edaran </w:t>
            </w:r>
            <w:r>
              <w:rPr>
                <w:sz w:val="20"/>
              </w:rPr>
              <w:t>Kepala Otorita</w:t>
            </w:r>
          </w:p>
        </w:tc>
        <w:tc>
          <w:tcPr>
            <w:tcW w:w="6094" w:type="dxa"/>
            <w:shd w:val="clear" w:color="auto" w:fill="DBE3EF"/>
          </w:tcPr>
          <w:p>
            <w:pPr>
              <w:pStyle w:val="TableParagraph"/>
              <w:ind w:left="110" w:right="86"/>
              <w:jc w:val="both"/>
              <w:rPr>
                <w:sz w:val="20"/>
              </w:rPr>
            </w:pPr>
            <w:r>
              <w:rPr>
                <w:sz w:val="20"/>
              </w:rPr>
              <w:t>Surat Edaran No. 01/SE/Kepala Otorita IKN/X/2022 tentang Penetapan Buku Panduan One Map, One Planning, One Policy (1 MPP) sebagai Pedoman Informasi Rencana Persiapan dan</w:t>
            </w:r>
          </w:p>
          <w:p>
            <w:pPr>
              <w:pStyle w:val="TableParagraph"/>
              <w:spacing w:line="264" w:lineRule="exact"/>
              <w:ind w:left="110" w:right="87"/>
              <w:jc w:val="both"/>
              <w:rPr>
                <w:sz w:val="20"/>
              </w:rPr>
            </w:pPr>
            <w:r>
              <w:rPr>
                <w:sz w:val="20"/>
              </w:rPr>
              <w:t>Pelaksanaan Pembangunan Ibu Kota Nusantara yang Terintegrasi Lintas K/L.</w:t>
            </w:r>
          </w:p>
        </w:tc>
      </w:tr>
    </w:tbl>
    <w:p>
      <w:pPr>
        <w:pStyle w:val="TableParagraph"/>
        <w:spacing w:after="0" w:line="264" w:lineRule="exact"/>
        <w:jc w:val="both"/>
        <w:rPr>
          <w:sz w:val="20"/>
        </w:rPr>
        <w:sectPr>
          <w:pgSz w:w="11910" w:h="16840"/>
          <w:pgMar w:header="0" w:footer="1186" w:top="1640" w:bottom="1380" w:left="1700" w:right="992"/>
        </w:sectPr>
      </w:pPr>
    </w:p>
    <w:p>
      <w:pPr>
        <w:pStyle w:val="BodyText"/>
        <w:jc w:val="left"/>
        <w:rPr>
          <w:rFonts w:ascii="Lucida Sans Unicode"/>
          <w:sz w:val="2"/>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6094"/>
      </w:tblGrid>
      <w:tr>
        <w:trPr>
          <w:trHeight w:val="796" w:hRule="atLeast"/>
        </w:trPr>
        <w:tc>
          <w:tcPr>
            <w:tcW w:w="1839" w:type="dxa"/>
            <w:shd w:val="clear" w:color="auto" w:fill="DBE3EF"/>
          </w:tcPr>
          <w:p>
            <w:pPr>
              <w:pStyle w:val="TableParagraph"/>
              <w:rPr>
                <w:rFonts w:ascii="Times New Roman"/>
                <w:sz w:val="22"/>
              </w:rPr>
            </w:pPr>
          </w:p>
        </w:tc>
        <w:tc>
          <w:tcPr>
            <w:tcW w:w="6094" w:type="dxa"/>
            <w:shd w:val="clear" w:color="auto" w:fill="DBE3EF"/>
          </w:tcPr>
          <w:p>
            <w:pPr>
              <w:pStyle w:val="TableParagraph"/>
              <w:spacing w:line="265" w:lineRule="exact"/>
              <w:ind w:left="110"/>
              <w:rPr>
                <w:sz w:val="20"/>
              </w:rPr>
            </w:pPr>
            <w:r>
              <w:rPr>
                <w:sz w:val="20"/>
              </w:rPr>
              <w:t>Surat</w:t>
            </w:r>
            <w:r>
              <w:rPr>
                <w:spacing w:val="36"/>
                <w:sz w:val="20"/>
              </w:rPr>
              <w:t> </w:t>
            </w:r>
            <w:r>
              <w:rPr>
                <w:sz w:val="20"/>
              </w:rPr>
              <w:t>Edaran</w:t>
            </w:r>
            <w:r>
              <w:rPr>
                <w:spacing w:val="38"/>
                <w:sz w:val="20"/>
              </w:rPr>
              <w:t> </w:t>
            </w:r>
            <w:r>
              <w:rPr>
                <w:sz w:val="20"/>
              </w:rPr>
              <w:t>No.</w:t>
            </w:r>
            <w:r>
              <w:rPr>
                <w:spacing w:val="32"/>
                <w:sz w:val="20"/>
              </w:rPr>
              <w:t> </w:t>
            </w:r>
            <w:r>
              <w:rPr>
                <w:sz w:val="20"/>
              </w:rPr>
              <w:t>02/SE/Kepala</w:t>
            </w:r>
            <w:r>
              <w:rPr>
                <w:spacing w:val="36"/>
                <w:sz w:val="20"/>
              </w:rPr>
              <w:t> </w:t>
            </w:r>
            <w:r>
              <w:rPr>
                <w:sz w:val="20"/>
              </w:rPr>
              <w:t>Otorita</w:t>
            </w:r>
            <w:r>
              <w:rPr>
                <w:spacing w:val="36"/>
                <w:sz w:val="20"/>
              </w:rPr>
              <w:t> </w:t>
            </w:r>
            <w:r>
              <w:rPr>
                <w:sz w:val="20"/>
              </w:rPr>
              <w:t>IKN/XI/2022</w:t>
            </w:r>
            <w:r>
              <w:rPr>
                <w:spacing w:val="40"/>
                <w:sz w:val="20"/>
              </w:rPr>
              <w:t> </w:t>
            </w:r>
            <w:r>
              <w:rPr>
                <w:spacing w:val="-2"/>
                <w:sz w:val="20"/>
              </w:rPr>
              <w:t>tentang</w:t>
            </w:r>
          </w:p>
          <w:p>
            <w:pPr>
              <w:pStyle w:val="TableParagraph"/>
              <w:spacing w:line="250" w:lineRule="exact" w:before="11"/>
              <w:ind w:left="110"/>
              <w:rPr>
                <w:sz w:val="20"/>
              </w:rPr>
            </w:pPr>
            <w:r>
              <w:rPr>
                <w:sz w:val="20"/>
              </w:rPr>
              <w:t>Penetapan Panduan Ad Interim Terkait Tata Kelola Penyampaian Informasi kepada Calon Investor di IKN.</w:t>
            </w:r>
          </w:p>
        </w:tc>
      </w:tr>
    </w:tbl>
    <w:p>
      <w:pPr>
        <w:spacing w:before="0"/>
        <w:ind w:left="566" w:right="0" w:firstLine="0"/>
        <w:jc w:val="left"/>
        <w:rPr>
          <w:sz w:val="24"/>
        </w:rPr>
      </w:pPr>
      <w:r>
        <w:rPr>
          <w:i/>
          <w:sz w:val="24"/>
        </w:rPr>
        <w:t>Sumber:</w:t>
      </w:r>
      <w:r>
        <w:rPr>
          <w:i/>
          <w:spacing w:val="-7"/>
          <w:sz w:val="24"/>
        </w:rPr>
        <w:t> </w:t>
      </w:r>
      <w:r>
        <w:rPr>
          <w:sz w:val="24"/>
        </w:rPr>
        <w:t>Diolah</w:t>
      </w:r>
      <w:r>
        <w:rPr>
          <w:spacing w:val="-9"/>
          <w:sz w:val="24"/>
        </w:rPr>
        <w:t> </w:t>
      </w:r>
      <w:r>
        <w:rPr>
          <w:sz w:val="24"/>
        </w:rPr>
        <w:t>dari</w:t>
      </w:r>
      <w:r>
        <w:rPr>
          <w:spacing w:val="-8"/>
          <w:sz w:val="24"/>
        </w:rPr>
        <w:t> </w:t>
      </w:r>
      <w:r>
        <w:rPr>
          <w:sz w:val="24"/>
        </w:rPr>
        <w:t>berbagai</w:t>
      </w:r>
      <w:r>
        <w:rPr>
          <w:spacing w:val="-7"/>
          <w:sz w:val="24"/>
        </w:rPr>
        <w:t> </w:t>
      </w:r>
      <w:r>
        <w:rPr>
          <w:spacing w:val="-2"/>
          <w:sz w:val="24"/>
        </w:rPr>
        <w:t>sumber</w:t>
      </w:r>
    </w:p>
    <w:p>
      <w:pPr>
        <w:pStyle w:val="BodyText"/>
        <w:spacing w:before="313"/>
        <w:jc w:val="left"/>
      </w:pPr>
    </w:p>
    <w:p>
      <w:pPr>
        <w:pStyle w:val="BodyText"/>
        <w:spacing w:line="360" w:lineRule="auto"/>
        <w:ind w:left="1276" w:right="704" w:firstLine="710"/>
      </w:pPr>
      <w:r>
        <w:rPr/>
        <w:t>Adapun terhadap aset yang hilang, untuk yang diambil total wilayahnya masuk ke dalam IKN, aset Kecamatan, Desa/Kelurahan tentu</w:t>
      </w:r>
      <w:r>
        <w:rPr>
          <w:spacing w:val="-1"/>
        </w:rPr>
        <w:t> </w:t>
      </w:r>
      <w:r>
        <w:rPr/>
        <w:t>saja</w:t>
      </w:r>
      <w:r>
        <w:rPr>
          <w:spacing w:val="-2"/>
        </w:rPr>
        <w:t> </w:t>
      </w:r>
      <w:r>
        <w:rPr/>
        <w:t>merupakan</w:t>
      </w:r>
      <w:r>
        <w:rPr>
          <w:spacing w:val="-1"/>
        </w:rPr>
        <w:t> </w:t>
      </w:r>
      <w:r>
        <w:rPr/>
        <w:t>kehilangan</w:t>
      </w:r>
      <w:r>
        <w:rPr>
          <w:spacing w:val="-1"/>
        </w:rPr>
        <w:t> </w:t>
      </w:r>
      <w:r>
        <w:rPr/>
        <w:t>yang</w:t>
      </w:r>
      <w:r>
        <w:rPr>
          <w:spacing w:val="-2"/>
        </w:rPr>
        <w:t> </w:t>
      </w:r>
      <w:r>
        <w:rPr/>
        <w:t>begitu besar</w:t>
      </w:r>
      <w:r>
        <w:rPr>
          <w:spacing w:val="-1"/>
        </w:rPr>
        <w:t> </w:t>
      </w:r>
      <w:r>
        <w:rPr/>
        <w:t>bagi kabupaten asal, yang kini menajdi Daerah Mitra, yakni Kukar. Ini berupa SDA minyak, gas, batubara, perikanan, pertanian, perkebunan, hutan, pelabuhan, wisata dan lain-lain, dengan Kecamatan Samboja dan Muara Jawa yang paling banyak kehilangan. Sambil menunggu hadirnya Peraturan Pemerintah (PP), Peraturan Presiden (Perpres), dan peraturan pelaksanaan lainnya, sejauh ini, belum ada aset Pemkab</w:t>
      </w:r>
      <w:r>
        <w:rPr>
          <w:spacing w:val="-2"/>
        </w:rPr>
        <w:t> </w:t>
      </w:r>
      <w:r>
        <w:rPr/>
        <w:t>Kukar</w:t>
      </w:r>
      <w:r>
        <w:rPr>
          <w:spacing w:val="-2"/>
        </w:rPr>
        <w:t> </w:t>
      </w:r>
      <w:r>
        <w:rPr/>
        <w:t>yang</w:t>
      </w:r>
      <w:r>
        <w:rPr>
          <w:spacing w:val="-3"/>
        </w:rPr>
        <w:t> </w:t>
      </w:r>
      <w:r>
        <w:rPr/>
        <w:t>telah</w:t>
      </w:r>
      <w:r>
        <w:rPr>
          <w:spacing w:val="-2"/>
        </w:rPr>
        <w:t> </w:t>
      </w:r>
      <w:r>
        <w:rPr/>
        <w:t>diambil</w:t>
      </w:r>
      <w:r>
        <w:rPr>
          <w:spacing w:val="-1"/>
        </w:rPr>
        <w:t> </w:t>
      </w:r>
      <w:r>
        <w:rPr/>
        <w:t>secara</w:t>
      </w:r>
      <w:r>
        <w:rPr>
          <w:spacing w:val="-3"/>
        </w:rPr>
        <w:t> </w:t>
      </w:r>
      <w:r>
        <w:rPr/>
        <w:t>resmi</w:t>
      </w:r>
      <w:r>
        <w:rPr>
          <w:spacing w:val="-1"/>
        </w:rPr>
        <w:t> </w:t>
      </w:r>
      <w:r>
        <w:rPr/>
        <w:t>oleh</w:t>
      </w:r>
      <w:r>
        <w:rPr>
          <w:spacing w:val="-2"/>
        </w:rPr>
        <w:t> </w:t>
      </w:r>
      <w:r>
        <w:rPr/>
        <w:t>OIKN, walaupun keseluruhan aset yang akan dialihkan sudah dilaporkan ke pemerintah</w:t>
      </w:r>
      <w:r>
        <w:rPr>
          <w:spacing w:val="-11"/>
        </w:rPr>
        <w:t> </w:t>
      </w:r>
      <w:r>
        <w:rPr/>
        <w:t>pusat.</w:t>
      </w:r>
      <w:r>
        <w:rPr>
          <w:spacing w:val="-9"/>
        </w:rPr>
        <w:t> </w:t>
      </w:r>
      <w:r>
        <w:rPr/>
        <w:t>Informasi</w:t>
      </w:r>
      <w:r>
        <w:rPr>
          <w:spacing w:val="-10"/>
        </w:rPr>
        <w:t> </w:t>
      </w:r>
      <w:r>
        <w:rPr/>
        <w:t>terkini</w:t>
      </w:r>
      <w:r>
        <w:rPr>
          <w:spacing w:val="-11"/>
        </w:rPr>
        <w:t> </w:t>
      </w:r>
      <w:r>
        <w:rPr/>
        <w:t>yang</w:t>
      </w:r>
      <w:r>
        <w:rPr>
          <w:spacing w:val="-12"/>
        </w:rPr>
        <w:t> </w:t>
      </w:r>
      <w:r>
        <w:rPr/>
        <w:t>diperoleh,</w:t>
      </w:r>
      <w:r>
        <w:rPr>
          <w:spacing w:val="-9"/>
        </w:rPr>
        <w:t> </w:t>
      </w:r>
      <w:r>
        <w:rPr/>
        <w:t>serah</w:t>
      </w:r>
      <w:r>
        <w:rPr>
          <w:spacing w:val="-11"/>
        </w:rPr>
        <w:t> </w:t>
      </w:r>
      <w:r>
        <w:rPr/>
        <w:t>terima</w:t>
      </w:r>
      <w:r>
        <w:rPr>
          <w:spacing w:val="-12"/>
        </w:rPr>
        <w:t> </w:t>
      </w:r>
      <w:r>
        <w:rPr/>
        <w:t>aset akan dilakukan secara simultan kepada OIKN sejalan dengan serah terima SDM ASN milik Pemkab.</w:t>
      </w:r>
    </w:p>
    <w:p>
      <w:pPr>
        <w:pStyle w:val="BodyText"/>
        <w:spacing w:line="360" w:lineRule="auto" w:before="4"/>
        <w:ind w:left="1276" w:right="704" w:firstLine="710"/>
      </w:pPr>
      <w:r>
        <w:rPr/>
        <w:t>Pembangunan</w:t>
      </w:r>
      <w:r>
        <w:rPr>
          <w:spacing w:val="-13"/>
        </w:rPr>
        <w:t> </w:t>
      </w:r>
      <w:r>
        <w:rPr/>
        <w:t>IKN</w:t>
      </w:r>
      <w:r>
        <w:rPr>
          <w:spacing w:val="-14"/>
        </w:rPr>
        <w:t> </w:t>
      </w:r>
      <w:r>
        <w:rPr/>
        <w:t>dan</w:t>
      </w:r>
      <w:r>
        <w:rPr>
          <w:spacing w:val="-14"/>
        </w:rPr>
        <w:t> </w:t>
      </w:r>
      <w:r>
        <w:rPr/>
        <w:t>delineasisi</w:t>
      </w:r>
      <w:r>
        <w:rPr>
          <w:spacing w:val="-13"/>
        </w:rPr>
        <w:t> </w:t>
      </w:r>
      <w:r>
        <w:rPr/>
        <w:t>tidak</w:t>
      </w:r>
      <w:r>
        <w:rPr>
          <w:spacing w:val="-12"/>
        </w:rPr>
        <w:t> </w:t>
      </w:r>
      <w:r>
        <w:rPr/>
        <w:t>boleh</w:t>
      </w:r>
      <w:r>
        <w:rPr>
          <w:spacing w:val="-10"/>
        </w:rPr>
        <w:t> </w:t>
      </w:r>
      <w:r>
        <w:rPr/>
        <w:t>menghilangkan secara drastis Dana Bagi Hasil yang selama ini dapat diterima Kabupaten</w:t>
      </w:r>
      <w:r>
        <w:rPr>
          <w:spacing w:val="-1"/>
        </w:rPr>
        <w:t> </w:t>
      </w:r>
      <w:r>
        <w:rPr/>
        <w:t>Kukar</w:t>
      </w:r>
      <w:r>
        <w:rPr>
          <w:spacing w:val="-1"/>
        </w:rPr>
        <w:t> </w:t>
      </w:r>
      <w:r>
        <w:rPr/>
        <w:t>sejalan</w:t>
      </w:r>
      <w:r>
        <w:rPr>
          <w:spacing w:val="-1"/>
        </w:rPr>
        <w:t> </w:t>
      </w:r>
      <w:r>
        <w:rPr/>
        <w:t>dengan</w:t>
      </w:r>
      <w:r>
        <w:rPr>
          <w:spacing w:val="-1"/>
        </w:rPr>
        <w:t> </w:t>
      </w:r>
      <w:r>
        <w:rPr/>
        <w:t>kekayaan</w:t>
      </w:r>
      <w:r>
        <w:rPr>
          <w:spacing w:val="-1"/>
        </w:rPr>
        <w:t> </w:t>
      </w:r>
      <w:r>
        <w:rPr/>
        <w:t>SDA</w:t>
      </w:r>
      <w:r>
        <w:rPr>
          <w:spacing w:val="-1"/>
        </w:rPr>
        <w:t> </w:t>
      </w:r>
      <w:r>
        <w:rPr/>
        <w:t>yang</w:t>
      </w:r>
      <w:r>
        <w:rPr>
          <w:spacing w:val="-1"/>
        </w:rPr>
        <w:t> </w:t>
      </w:r>
      <w:r>
        <w:rPr/>
        <w:t>secara</w:t>
      </w:r>
      <w:r>
        <w:rPr>
          <w:spacing w:val="-1"/>
        </w:rPr>
        <w:t> </w:t>
      </w:r>
      <w:r>
        <w:rPr/>
        <w:t>realistis dimilikinya selama ini. UU IKN yang awal maupun sudah diamandemen merupakan keputusan politik, sehingga hasilnya seharusnya dapat dikompromikan demi menjaga rasa keadilan, pasca-keputusan</w:t>
      </w:r>
      <w:r>
        <w:rPr>
          <w:spacing w:val="-9"/>
        </w:rPr>
        <w:t> </w:t>
      </w:r>
      <w:r>
        <w:rPr/>
        <w:t>unilateral</w:t>
      </w:r>
      <w:r>
        <w:rPr>
          <w:spacing w:val="-12"/>
        </w:rPr>
        <w:t> </w:t>
      </w:r>
      <w:r>
        <w:rPr/>
        <w:t>(sepihak)</w:t>
      </w:r>
      <w:r>
        <w:rPr>
          <w:spacing w:val="-11"/>
        </w:rPr>
        <w:t> </w:t>
      </w:r>
      <w:r>
        <w:rPr/>
        <w:t>delineasisi</w:t>
      </w:r>
      <w:r>
        <w:rPr>
          <w:spacing w:val="-7"/>
        </w:rPr>
        <w:t> </w:t>
      </w:r>
      <w:r>
        <w:rPr/>
        <w:t>yang</w:t>
      </w:r>
      <w:r>
        <w:rPr>
          <w:spacing w:val="-10"/>
        </w:rPr>
        <w:t> </w:t>
      </w:r>
      <w:r>
        <w:rPr/>
        <w:t>telah</w:t>
      </w:r>
      <w:r>
        <w:rPr>
          <w:spacing w:val="-9"/>
        </w:rPr>
        <w:t> </w:t>
      </w:r>
      <w:r>
        <w:rPr/>
        <w:t>dilakukan pemerintah pusat. Dana Bagi Hasil IKN dan Pemerintah Kabupaten Kutai Kartanegara memang dapat dinegosiasikan. OIKN harus menyadari Pemerintah Kabupaten Kutai Kartanegara akan kesulitan</w:t>
      </w:r>
    </w:p>
    <w:p>
      <w:pPr>
        <w:pStyle w:val="BodyText"/>
        <w:spacing w:after="0" w:line="360" w:lineRule="auto"/>
        <w:sectPr>
          <w:pgSz w:w="11910" w:h="16840"/>
          <w:pgMar w:header="0" w:footer="1186" w:top="1640" w:bottom="1380" w:left="1700" w:right="992"/>
        </w:sectPr>
      </w:pPr>
    </w:p>
    <w:p>
      <w:pPr>
        <w:pStyle w:val="BodyText"/>
        <w:spacing w:line="360" w:lineRule="auto" w:before="82"/>
        <w:ind w:left="1276" w:right="699"/>
      </w:pPr>
      <w:r>
        <w:rPr/>
        <w:t>menanggulangi belanja atau pengeluarannya secara menyeluruh, termasuk untuk pegawai, jika</w:t>
      </w:r>
      <w:r>
        <w:rPr>
          <w:spacing w:val="-1"/>
        </w:rPr>
        <w:t> </w:t>
      </w:r>
      <w:r>
        <w:rPr/>
        <w:t>Dana</w:t>
      </w:r>
      <w:r>
        <w:rPr>
          <w:spacing w:val="-1"/>
        </w:rPr>
        <w:t> </w:t>
      </w:r>
      <w:r>
        <w:rPr/>
        <w:t>Bagi Hasil tidak diterimanya</w:t>
      </w:r>
      <w:r>
        <w:rPr>
          <w:spacing w:val="-1"/>
        </w:rPr>
        <w:t> </w:t>
      </w:r>
      <w:r>
        <w:rPr/>
        <w:t>lagi, terutama</w:t>
      </w:r>
      <w:r>
        <w:rPr>
          <w:spacing w:val="-17"/>
        </w:rPr>
        <w:t> </w:t>
      </w:r>
      <w:r>
        <w:rPr/>
        <w:t>dengan</w:t>
      </w:r>
      <w:r>
        <w:rPr>
          <w:spacing w:val="-16"/>
        </w:rPr>
        <w:t> </w:t>
      </w:r>
      <w:r>
        <w:rPr/>
        <w:t>adanya</w:t>
      </w:r>
      <w:r>
        <w:rPr>
          <w:spacing w:val="-17"/>
        </w:rPr>
        <w:t> </w:t>
      </w:r>
      <w:r>
        <w:rPr/>
        <w:t>keputusan</w:t>
      </w:r>
      <w:r>
        <w:rPr>
          <w:spacing w:val="-16"/>
        </w:rPr>
        <w:t> </w:t>
      </w:r>
      <w:r>
        <w:rPr/>
        <w:t>pemerintah</w:t>
      </w:r>
      <w:r>
        <w:rPr>
          <w:spacing w:val="-17"/>
        </w:rPr>
        <w:t> </w:t>
      </w:r>
      <w:r>
        <w:rPr/>
        <w:t>pusat</w:t>
      </w:r>
      <w:r>
        <w:rPr>
          <w:spacing w:val="15"/>
        </w:rPr>
        <w:t> </w:t>
      </w:r>
      <w:r>
        <w:rPr/>
        <w:t>dan</w:t>
      </w:r>
      <w:r>
        <w:rPr>
          <w:spacing w:val="-17"/>
        </w:rPr>
        <w:t> </w:t>
      </w:r>
      <w:r>
        <w:rPr/>
        <w:t>DPR</w:t>
      </w:r>
      <w:r>
        <w:rPr>
          <w:spacing w:val="-16"/>
        </w:rPr>
        <w:t> </w:t>
      </w:r>
      <w:r>
        <w:rPr/>
        <w:t>yang akan mengangkat 3 ribu Pegawai P3K, sebagai konsekuensi disetujuinya</w:t>
      </w:r>
      <w:r>
        <w:rPr>
          <w:spacing w:val="-10"/>
        </w:rPr>
        <w:t> </w:t>
      </w:r>
      <w:r>
        <w:rPr/>
        <w:t>amandemen</w:t>
      </w:r>
      <w:r>
        <w:rPr>
          <w:spacing w:val="-9"/>
        </w:rPr>
        <w:t> </w:t>
      </w:r>
      <w:r>
        <w:rPr/>
        <w:t>UU</w:t>
      </w:r>
      <w:r>
        <w:rPr>
          <w:spacing w:val="-11"/>
        </w:rPr>
        <w:t> </w:t>
      </w:r>
      <w:r>
        <w:rPr/>
        <w:t>ASN</w:t>
      </w:r>
      <w:r>
        <w:rPr>
          <w:spacing w:val="-11"/>
        </w:rPr>
        <w:t> </w:t>
      </w:r>
      <w:r>
        <w:rPr/>
        <w:t>Nomor</w:t>
      </w:r>
      <w:r>
        <w:rPr>
          <w:spacing w:val="-10"/>
        </w:rPr>
        <w:t> </w:t>
      </w:r>
      <w:r>
        <w:rPr/>
        <w:t>20</w:t>
      </w:r>
      <w:r>
        <w:rPr>
          <w:spacing w:val="-9"/>
        </w:rPr>
        <w:t> </w:t>
      </w:r>
      <w:r>
        <w:rPr/>
        <w:t>Tahun</w:t>
      </w:r>
      <w:r>
        <w:rPr>
          <w:spacing w:val="-10"/>
        </w:rPr>
        <w:t> </w:t>
      </w:r>
      <w:r>
        <w:rPr/>
        <w:t>2023.</w:t>
      </w:r>
      <w:r>
        <w:rPr>
          <w:spacing w:val="-8"/>
        </w:rPr>
        <w:t> </w:t>
      </w:r>
      <w:r>
        <w:rPr/>
        <w:t>Pemberian kompensasi fiskal akibat kehilangan luas wilayah yang di dalamnya ada aset Pemkab, juga merupakan alternatif solusi untuk mengatasi kerisauan yang muncul.</w:t>
      </w:r>
    </w:p>
    <w:p>
      <w:pPr>
        <w:pStyle w:val="BodyText"/>
        <w:spacing w:line="360" w:lineRule="auto" w:before="5"/>
        <w:ind w:left="1276" w:right="699" w:firstLine="710"/>
      </w:pPr>
      <w:r>
        <w:rPr/>
        <w:t>Dalam</w:t>
      </w:r>
      <w:r>
        <w:rPr>
          <w:spacing w:val="-17"/>
        </w:rPr>
        <w:t> </w:t>
      </w:r>
      <w:r>
        <w:rPr/>
        <w:t>hubungannya</w:t>
      </w:r>
      <w:r>
        <w:rPr>
          <w:spacing w:val="-16"/>
        </w:rPr>
        <w:t> </w:t>
      </w:r>
      <w:r>
        <w:rPr/>
        <w:t>dengan</w:t>
      </w:r>
      <w:r>
        <w:rPr>
          <w:spacing w:val="-17"/>
        </w:rPr>
        <w:t> </w:t>
      </w:r>
      <w:r>
        <w:rPr/>
        <w:t>tata</w:t>
      </w:r>
      <w:r>
        <w:rPr>
          <w:spacing w:val="-16"/>
        </w:rPr>
        <w:t> </w:t>
      </w:r>
      <w:r>
        <w:rPr/>
        <w:t>ruang,</w:t>
      </w:r>
      <w:r>
        <w:rPr>
          <w:spacing w:val="-17"/>
        </w:rPr>
        <w:t> </w:t>
      </w:r>
      <w:r>
        <w:rPr/>
        <w:t>substansi</w:t>
      </w:r>
      <w:r>
        <w:rPr>
          <w:spacing w:val="-16"/>
        </w:rPr>
        <w:t> </w:t>
      </w:r>
      <w:r>
        <w:rPr/>
        <w:t>RTRW</w:t>
      </w:r>
      <w:r>
        <w:rPr>
          <w:spacing w:val="-15"/>
        </w:rPr>
        <w:t> </w:t>
      </w:r>
      <w:r>
        <w:rPr/>
        <w:t>yang mengeluarkan wilayah Pemerintah Kabupaten Kutai Kartanegara yang masuk ke IKN diinformasikan sudah final, namun terdapat keterlambatan penerbitan Perda, sampai lebih dari 3 bulan. Ini disebabkan proses koordinasi ke Kabiro Kemenkumham, rapat paripurna</w:t>
      </w:r>
      <w:r>
        <w:rPr>
          <w:spacing w:val="-17"/>
        </w:rPr>
        <w:t> </w:t>
      </w:r>
      <w:r>
        <w:rPr/>
        <w:t>di</w:t>
      </w:r>
      <w:r>
        <w:rPr>
          <w:spacing w:val="-16"/>
        </w:rPr>
        <w:t> </w:t>
      </w:r>
      <w:r>
        <w:rPr/>
        <w:t>DPRD,</w:t>
      </w:r>
      <w:r>
        <w:rPr>
          <w:spacing w:val="-17"/>
        </w:rPr>
        <w:t> </w:t>
      </w:r>
      <w:r>
        <w:rPr/>
        <w:t>dan</w:t>
      </w:r>
      <w:r>
        <w:rPr>
          <w:spacing w:val="-16"/>
        </w:rPr>
        <w:t> </w:t>
      </w:r>
      <w:r>
        <w:rPr/>
        <w:t>evaluasi</w:t>
      </w:r>
      <w:r>
        <w:rPr>
          <w:spacing w:val="-17"/>
        </w:rPr>
        <w:t> </w:t>
      </w:r>
      <w:r>
        <w:rPr/>
        <w:t>di</w:t>
      </w:r>
      <w:r>
        <w:rPr>
          <w:spacing w:val="-16"/>
        </w:rPr>
        <w:t> </w:t>
      </w:r>
      <w:r>
        <w:rPr/>
        <w:t>level</w:t>
      </w:r>
      <w:r>
        <w:rPr>
          <w:spacing w:val="-15"/>
        </w:rPr>
        <w:t> </w:t>
      </w:r>
      <w:r>
        <w:rPr/>
        <w:t>provinsi,</w:t>
      </w:r>
      <w:r>
        <w:rPr>
          <w:spacing w:val="-15"/>
        </w:rPr>
        <w:t> </w:t>
      </w:r>
      <w:r>
        <w:rPr/>
        <w:t>yang</w:t>
      </w:r>
      <w:r>
        <w:rPr>
          <w:spacing w:val="-17"/>
        </w:rPr>
        <w:t> </w:t>
      </w:r>
      <w:r>
        <w:rPr/>
        <w:t>membutuhkan waktu panjang. Dengan demikian, </w:t>
      </w:r>
      <w:r>
        <w:rPr>
          <w:i/>
        </w:rPr>
        <w:t>shapefile </w:t>
      </w:r>
      <w:r>
        <w:rPr/>
        <w:t>RTRW terbaru belum dapat disebarluaskan. Adapun perencanaan pola dan struktur ruang Kukar hasil kesepakatan IKN dan OPD Kukar, terdiri dari:</w:t>
      </w:r>
    </w:p>
    <w:p>
      <w:pPr>
        <w:pStyle w:val="ListParagraph"/>
        <w:numPr>
          <w:ilvl w:val="0"/>
          <w:numId w:val="35"/>
        </w:numPr>
        <w:tabs>
          <w:tab w:pos="1841" w:val="left" w:leader="none"/>
          <w:tab w:pos="1843" w:val="left" w:leader="none"/>
        </w:tabs>
        <w:spacing w:line="240" w:lineRule="auto" w:before="0" w:after="0"/>
        <w:ind w:left="1843" w:right="700" w:hanging="250"/>
        <w:jc w:val="both"/>
        <w:rPr>
          <w:sz w:val="24"/>
        </w:rPr>
      </w:pPr>
      <w:r>
        <w:rPr>
          <w:sz w:val="24"/>
        </w:rPr>
        <w:t>Koridor</w:t>
      </w:r>
      <w:r>
        <w:rPr>
          <w:spacing w:val="-17"/>
          <w:sz w:val="24"/>
        </w:rPr>
        <w:t> </w:t>
      </w:r>
      <w:r>
        <w:rPr>
          <w:sz w:val="24"/>
        </w:rPr>
        <w:t>1:</w:t>
      </w:r>
      <w:r>
        <w:rPr>
          <w:spacing w:val="-16"/>
          <w:sz w:val="24"/>
        </w:rPr>
        <w:t> </w:t>
      </w:r>
      <w:r>
        <w:rPr>
          <w:sz w:val="24"/>
        </w:rPr>
        <w:t>Sanga-Sanga,</w:t>
      </w:r>
      <w:r>
        <w:rPr>
          <w:spacing w:val="-17"/>
          <w:sz w:val="24"/>
        </w:rPr>
        <w:t> </w:t>
      </w:r>
      <w:r>
        <w:rPr>
          <w:sz w:val="24"/>
        </w:rPr>
        <w:t>Muara</w:t>
      </w:r>
      <w:r>
        <w:rPr>
          <w:spacing w:val="-16"/>
          <w:sz w:val="24"/>
        </w:rPr>
        <w:t> </w:t>
      </w:r>
      <w:r>
        <w:rPr>
          <w:sz w:val="24"/>
        </w:rPr>
        <w:t>Jawa,</w:t>
      </w:r>
      <w:r>
        <w:rPr>
          <w:spacing w:val="-17"/>
          <w:sz w:val="24"/>
        </w:rPr>
        <w:t> </w:t>
      </w:r>
      <w:r>
        <w:rPr>
          <w:sz w:val="24"/>
        </w:rPr>
        <w:t>yang</w:t>
      </w:r>
      <w:r>
        <w:rPr>
          <w:spacing w:val="-16"/>
          <w:sz w:val="24"/>
        </w:rPr>
        <w:t> </w:t>
      </w:r>
      <w:r>
        <w:rPr>
          <w:sz w:val="24"/>
        </w:rPr>
        <w:t>merupakan</w:t>
      </w:r>
      <w:r>
        <w:rPr>
          <w:spacing w:val="-17"/>
          <w:sz w:val="24"/>
        </w:rPr>
        <w:t> </w:t>
      </w:r>
      <w:r>
        <w:rPr>
          <w:sz w:val="24"/>
        </w:rPr>
        <w:t>dan</w:t>
      </w:r>
      <w:r>
        <w:rPr>
          <w:spacing w:val="-16"/>
          <w:sz w:val="24"/>
        </w:rPr>
        <w:t> </w:t>
      </w:r>
      <w:r>
        <w:rPr>
          <w:sz w:val="24"/>
        </w:rPr>
        <w:t>akan terus dikembangkan sebagai aktivitas perdagangan, jasa, industri, dan permukiman;</w:t>
      </w:r>
    </w:p>
    <w:p>
      <w:pPr>
        <w:pStyle w:val="ListParagraph"/>
        <w:numPr>
          <w:ilvl w:val="0"/>
          <w:numId w:val="35"/>
        </w:numPr>
        <w:tabs>
          <w:tab w:pos="1841" w:val="left" w:leader="none"/>
          <w:tab w:pos="1843" w:val="left" w:leader="none"/>
        </w:tabs>
        <w:spacing w:line="240" w:lineRule="auto" w:before="0" w:after="0"/>
        <w:ind w:left="1843" w:right="704" w:hanging="250"/>
        <w:jc w:val="both"/>
        <w:rPr>
          <w:sz w:val="24"/>
        </w:rPr>
      </w:pPr>
      <w:r>
        <w:rPr>
          <w:sz w:val="24"/>
        </w:rPr>
        <w:t>Koridor 2: Wilayah Pengembangan (WP) Jonggon, yang pengemabngan wilayahnya terkait bidang pertanian dan pengembangan pendidikan, karena ada SPN.</w:t>
      </w:r>
    </w:p>
    <w:p>
      <w:pPr>
        <w:pStyle w:val="BodyText"/>
        <w:spacing w:before="159"/>
        <w:jc w:val="left"/>
      </w:pPr>
    </w:p>
    <w:p>
      <w:pPr>
        <w:pStyle w:val="BodyText"/>
        <w:spacing w:line="360" w:lineRule="auto"/>
        <w:ind w:left="1276" w:right="703" w:firstLine="710"/>
      </w:pPr>
      <w:r>
        <w:rPr/>
        <w:t>Masalah hukum lain yang dihadapi adalah implikasi dari pembangunan jalan tol Balikpapan-Samarinda, yang telah menyita jalan warga lokal sejauh 4 kilometer, yang sampai hari ini tidak ada solusi, dengan</w:t>
      </w:r>
      <w:r>
        <w:rPr>
          <w:spacing w:val="-1"/>
        </w:rPr>
        <w:t> </w:t>
      </w:r>
      <w:r>
        <w:rPr/>
        <w:t>menyediakan</w:t>
      </w:r>
      <w:r>
        <w:rPr>
          <w:spacing w:val="-1"/>
        </w:rPr>
        <w:t> </w:t>
      </w:r>
      <w:r>
        <w:rPr/>
        <w:t>jalan alternatif untuk akses</w:t>
      </w:r>
      <w:r>
        <w:rPr>
          <w:spacing w:val="-1"/>
        </w:rPr>
        <w:t> </w:t>
      </w:r>
      <w:r>
        <w:rPr/>
        <w:t>warga</w:t>
      </w:r>
      <w:r>
        <w:rPr>
          <w:spacing w:val="-2"/>
        </w:rPr>
        <w:t> </w:t>
      </w:r>
      <w:r>
        <w:rPr/>
        <w:t>lokal. Jalan tol yang dibangun telah menutup semua akses warga di sekitarnya.</w:t>
      </w:r>
      <w:r>
        <w:rPr>
          <w:spacing w:val="40"/>
        </w:rPr>
        <w:t> </w:t>
      </w:r>
      <w:r>
        <w:rPr/>
        <w:t>Masuknya</w:t>
      </w:r>
      <w:r>
        <w:rPr>
          <w:spacing w:val="40"/>
        </w:rPr>
        <w:t> </w:t>
      </w:r>
      <w:r>
        <w:rPr/>
        <w:t>Kecamatan</w:t>
      </w:r>
      <w:r>
        <w:rPr>
          <w:spacing w:val="40"/>
        </w:rPr>
        <w:t> </w:t>
      </w:r>
      <w:r>
        <w:rPr/>
        <w:t>Samboja</w:t>
      </w:r>
      <w:r>
        <w:rPr>
          <w:spacing w:val="40"/>
        </w:rPr>
        <w:t> </w:t>
      </w:r>
      <w:r>
        <w:rPr/>
        <w:t>ke</w:t>
      </w:r>
      <w:r>
        <w:rPr>
          <w:spacing w:val="40"/>
        </w:rPr>
        <w:t> </w:t>
      </w:r>
      <w:r>
        <w:rPr/>
        <w:t>IKN dalam</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0"/>
      </w:pPr>
      <w:r>
        <w:rPr/>
        <w:t>kenyataannya menciptakan dampak terhambatnya proses administrasi wilayah, terkait jual beli tanah, dengan berlakunya kebijakan moratorium. Merespon situasi yang berkembang, penerbitan peraturan tentang larangan menaikkan status dan harga tanah sangatlah diperlukan.</w:t>
      </w:r>
    </w:p>
    <w:p>
      <w:pPr>
        <w:pStyle w:val="BodyText"/>
        <w:spacing w:line="360" w:lineRule="auto" w:before="2"/>
        <w:ind w:left="1276" w:right="699" w:firstLine="710"/>
      </w:pPr>
      <w:r>
        <w:rPr/>
        <w:t>Juga telah menjadi temuan di lapangan (wawancara dengan Sekretaris</w:t>
      </w:r>
      <w:r>
        <w:rPr>
          <w:spacing w:val="-3"/>
        </w:rPr>
        <w:t> </w:t>
      </w:r>
      <w:r>
        <w:rPr/>
        <w:t>Kecamatan</w:t>
      </w:r>
      <w:r>
        <w:rPr>
          <w:spacing w:val="-4"/>
        </w:rPr>
        <w:t> </w:t>
      </w:r>
      <w:r>
        <w:rPr/>
        <w:t>Muara</w:t>
      </w:r>
      <w:r>
        <w:rPr>
          <w:spacing w:val="-4"/>
        </w:rPr>
        <w:t> </w:t>
      </w:r>
      <w:r>
        <w:rPr/>
        <w:t>Jawa,</w:t>
      </w:r>
      <w:r>
        <w:rPr>
          <w:spacing w:val="-2"/>
        </w:rPr>
        <w:t> </w:t>
      </w:r>
      <w:r>
        <w:rPr/>
        <w:t>Muhammad</w:t>
      </w:r>
      <w:r>
        <w:rPr>
          <w:spacing w:val="-4"/>
        </w:rPr>
        <w:t> </w:t>
      </w:r>
      <w:r>
        <w:rPr/>
        <w:t>Reihan</w:t>
      </w:r>
      <w:r>
        <w:rPr>
          <w:spacing w:val="-4"/>
        </w:rPr>
        <w:t> </w:t>
      </w:r>
      <w:r>
        <w:rPr/>
        <w:t>pada</w:t>
      </w:r>
      <w:r>
        <w:rPr>
          <w:spacing w:val="-4"/>
        </w:rPr>
        <w:t> </w:t>
      </w:r>
      <w:r>
        <w:rPr/>
        <w:t>tanggal 26 Oktober 2023), dengan diberlakukannya kebijakan moratorium, terdapat aktivitas jual-beli tanah yang dilakukan di bawah tangan atau</w:t>
      </w:r>
      <w:r>
        <w:rPr>
          <w:spacing w:val="-10"/>
        </w:rPr>
        <w:t> </w:t>
      </w:r>
      <w:r>
        <w:rPr/>
        <w:t>secara</w:t>
      </w:r>
      <w:r>
        <w:rPr>
          <w:spacing w:val="-10"/>
        </w:rPr>
        <w:t> </w:t>
      </w:r>
      <w:r>
        <w:rPr/>
        <w:t>ilegal,</w:t>
      </w:r>
      <w:r>
        <w:rPr>
          <w:spacing w:val="-8"/>
        </w:rPr>
        <w:t> </w:t>
      </w:r>
      <w:r>
        <w:rPr/>
        <w:t>yang</w:t>
      </w:r>
      <w:r>
        <w:rPr>
          <w:spacing w:val="-6"/>
        </w:rPr>
        <w:t> </w:t>
      </w:r>
      <w:r>
        <w:rPr/>
        <w:t>menyebakan</w:t>
      </w:r>
      <w:r>
        <w:rPr>
          <w:spacing w:val="-4"/>
        </w:rPr>
        <w:t> </w:t>
      </w:r>
      <w:r>
        <w:rPr/>
        <w:t>harga</w:t>
      </w:r>
      <w:r>
        <w:rPr>
          <w:spacing w:val="-11"/>
        </w:rPr>
        <w:t> </w:t>
      </w:r>
      <w:r>
        <w:rPr/>
        <w:t>tanah</w:t>
      </w:r>
      <w:r>
        <w:rPr>
          <w:spacing w:val="-5"/>
        </w:rPr>
        <w:t> </w:t>
      </w:r>
      <w:r>
        <w:rPr/>
        <w:t>penduduk</w:t>
      </w:r>
      <w:r>
        <w:rPr>
          <w:spacing w:val="-8"/>
        </w:rPr>
        <w:t> </w:t>
      </w:r>
      <w:r>
        <w:rPr/>
        <w:t>menjadi turun. Untuk mencegah konflik, tentu saja, dibutuhkan pengakuan atas tanah milik masyarakat, dengan perubahan dari status ADP menjadi BMO, dengan pemberian jangka waktu hak atas tanah, Hak Guna</w:t>
      </w:r>
      <w:r>
        <w:rPr>
          <w:spacing w:val="-17"/>
        </w:rPr>
        <w:t> </w:t>
      </w:r>
      <w:r>
        <w:rPr/>
        <w:t>Usaha</w:t>
      </w:r>
      <w:r>
        <w:rPr>
          <w:spacing w:val="-16"/>
        </w:rPr>
        <w:t> </w:t>
      </w:r>
      <w:r>
        <w:rPr/>
        <w:t>(HGU),</w:t>
      </w:r>
      <w:r>
        <w:rPr>
          <w:spacing w:val="-17"/>
        </w:rPr>
        <w:t> </w:t>
      </w:r>
      <w:r>
        <w:rPr/>
        <w:t>Hak</w:t>
      </w:r>
      <w:r>
        <w:rPr>
          <w:spacing w:val="-14"/>
        </w:rPr>
        <w:t> </w:t>
      </w:r>
      <w:r>
        <w:rPr/>
        <w:t>Guna</w:t>
      </w:r>
      <w:r>
        <w:rPr>
          <w:spacing w:val="-17"/>
        </w:rPr>
        <w:t> </w:t>
      </w:r>
      <w:r>
        <w:rPr/>
        <w:t>Bangunan</w:t>
      </w:r>
      <w:r>
        <w:rPr>
          <w:spacing w:val="-15"/>
        </w:rPr>
        <w:t> </w:t>
      </w:r>
      <w:r>
        <w:rPr/>
        <w:t>(HGB)</w:t>
      </w:r>
      <w:r>
        <w:rPr>
          <w:spacing w:val="-16"/>
        </w:rPr>
        <w:t> </w:t>
      </w:r>
      <w:r>
        <w:rPr/>
        <w:t>dan</w:t>
      </w:r>
      <w:r>
        <w:rPr>
          <w:spacing w:val="-16"/>
        </w:rPr>
        <w:t> </w:t>
      </w:r>
      <w:r>
        <w:rPr/>
        <w:t>Hak</w:t>
      </w:r>
      <w:r>
        <w:rPr>
          <w:spacing w:val="-15"/>
        </w:rPr>
        <w:t> </w:t>
      </w:r>
      <w:r>
        <w:rPr/>
        <w:t>Pakai.</w:t>
      </w:r>
      <w:r>
        <w:rPr>
          <w:spacing w:val="-17"/>
        </w:rPr>
        <w:t> </w:t>
      </w:r>
      <w:r>
        <w:rPr/>
        <w:t>Konflik hukum yang muncul belakangan akibat maraknya jual-beli tanah serta munculnya kebijakan moratorium lewat Peraturan Gubernur (Pergub) No. 36 Tahun 2022 dan respons Ombudsman yang kontroversial dengan merekomendasikan dilanjutkannya pelayanan publik dalam penerbitan surat-surat jual beli tanah, harus diselesaikan</w:t>
      </w:r>
      <w:r>
        <w:rPr>
          <w:spacing w:val="-15"/>
        </w:rPr>
        <w:t> </w:t>
      </w:r>
      <w:r>
        <w:rPr/>
        <w:t>selekasnya,</w:t>
      </w:r>
      <w:r>
        <w:rPr>
          <w:spacing w:val="-12"/>
        </w:rPr>
        <w:t> </w:t>
      </w:r>
      <w:r>
        <w:rPr/>
        <w:t>dengan</w:t>
      </w:r>
      <w:r>
        <w:rPr>
          <w:spacing w:val="-14"/>
        </w:rPr>
        <w:t> </w:t>
      </w:r>
      <w:r>
        <w:rPr/>
        <w:t>terbitnya</w:t>
      </w:r>
      <w:r>
        <w:rPr>
          <w:spacing w:val="-15"/>
        </w:rPr>
        <w:t> </w:t>
      </w:r>
      <w:r>
        <w:rPr/>
        <w:t>aturan</w:t>
      </w:r>
      <w:r>
        <w:rPr>
          <w:spacing w:val="-15"/>
        </w:rPr>
        <w:t> </w:t>
      </w:r>
      <w:r>
        <w:rPr/>
        <w:t>turunan</w:t>
      </w:r>
      <w:r>
        <w:rPr>
          <w:spacing w:val="-14"/>
        </w:rPr>
        <w:t> </w:t>
      </w:r>
      <w:r>
        <w:rPr/>
        <w:t>soal</w:t>
      </w:r>
      <w:r>
        <w:rPr>
          <w:spacing w:val="-14"/>
        </w:rPr>
        <w:t> </w:t>
      </w:r>
      <w:r>
        <w:rPr/>
        <w:t>ini</w:t>
      </w:r>
      <w:r>
        <w:rPr>
          <w:spacing w:val="-14"/>
        </w:rPr>
        <w:t> </w:t>
      </w:r>
      <w:r>
        <w:rPr/>
        <w:t>dari UU IKN yang telah direvisi tersebut.</w:t>
      </w:r>
    </w:p>
    <w:p>
      <w:pPr>
        <w:pStyle w:val="BodyText"/>
        <w:spacing w:line="360" w:lineRule="auto" w:before="2"/>
        <w:ind w:left="1276" w:right="700" w:firstLine="710"/>
      </w:pPr>
      <w:r>
        <w:rPr/>
        <w:t>Sebagai</w:t>
      </w:r>
      <w:r>
        <w:rPr>
          <w:spacing w:val="-3"/>
        </w:rPr>
        <w:t> </w:t>
      </w:r>
      <w:r>
        <w:rPr/>
        <w:t>konsekuensinya,</w:t>
      </w:r>
      <w:r>
        <w:rPr>
          <w:spacing w:val="-2"/>
        </w:rPr>
        <w:t> </w:t>
      </w:r>
      <w:r>
        <w:rPr/>
        <w:t>diharapkan,</w:t>
      </w:r>
      <w:r>
        <w:rPr>
          <w:spacing w:val="-2"/>
        </w:rPr>
        <w:t> </w:t>
      </w:r>
      <w:r>
        <w:rPr/>
        <w:t>ada</w:t>
      </w:r>
      <w:r>
        <w:rPr>
          <w:spacing w:val="-5"/>
        </w:rPr>
        <w:t> </w:t>
      </w:r>
      <w:r>
        <w:rPr/>
        <w:t>aturan</w:t>
      </w:r>
      <w:r>
        <w:rPr>
          <w:spacing w:val="-4"/>
        </w:rPr>
        <w:t> </w:t>
      </w:r>
      <w:r>
        <w:rPr/>
        <w:t>hukum</w:t>
      </w:r>
      <w:r>
        <w:rPr>
          <w:spacing w:val="-3"/>
        </w:rPr>
        <w:t> </w:t>
      </w:r>
      <w:r>
        <w:rPr/>
        <w:t>yang segera dapat mengatasi kekosongan pengaturan, untuk dijadikan pegangan bersama di wilayah IKN dan Daerah Mitra. Di sisi lain, diperlukan perlindungan hukum terhadap hak-hak tradisional masyarakat lokal. Jadi, berbagai produk hukum turunan mengenai masalah pertanahan, pengambilalihan aset, pengambilalihan SDA, pengambilalihan</w:t>
      </w:r>
      <w:r>
        <w:rPr>
          <w:spacing w:val="29"/>
        </w:rPr>
        <w:t> </w:t>
      </w:r>
      <w:r>
        <w:rPr/>
        <w:t>SDM,</w:t>
      </w:r>
      <w:r>
        <w:rPr>
          <w:spacing w:val="30"/>
        </w:rPr>
        <w:t> </w:t>
      </w:r>
      <w:r>
        <w:rPr/>
        <w:t>Dana Bagi Hasil bagi Kabupaten Kukar dan</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0"/>
      </w:pPr>
      <w:r>
        <w:rPr/>
        <w:t>lain-lain, masih ditunggu. Sedangkan Kabupaten Kutai Kartanegara bersama DPRD setempat sebagai Pemerintah Daerah Mitra secara otomatis perlu menyiapkan ketentuan hukum yang tingkatnya lebih rendah,</w:t>
      </w:r>
      <w:r>
        <w:rPr>
          <w:spacing w:val="-6"/>
        </w:rPr>
        <w:t> </w:t>
      </w:r>
      <w:r>
        <w:rPr/>
        <w:t>namun</w:t>
      </w:r>
      <w:r>
        <w:rPr>
          <w:spacing w:val="-8"/>
        </w:rPr>
        <w:t> </w:t>
      </w:r>
      <w:r>
        <w:rPr/>
        <w:t>spesifik</w:t>
      </w:r>
      <w:r>
        <w:rPr>
          <w:spacing w:val="-6"/>
        </w:rPr>
        <w:t> </w:t>
      </w:r>
      <w:r>
        <w:rPr/>
        <w:t>dan</w:t>
      </w:r>
      <w:r>
        <w:rPr>
          <w:spacing w:val="-8"/>
        </w:rPr>
        <w:t> </w:t>
      </w:r>
      <w:r>
        <w:rPr/>
        <w:t>realistis,</w:t>
      </w:r>
      <w:r>
        <w:rPr>
          <w:spacing w:val="-6"/>
        </w:rPr>
        <w:t> </w:t>
      </w:r>
      <w:r>
        <w:rPr/>
        <w:t>dalam</w:t>
      </w:r>
      <w:r>
        <w:rPr>
          <w:spacing w:val="-7"/>
        </w:rPr>
        <w:t> </w:t>
      </w:r>
      <w:r>
        <w:rPr/>
        <w:t>bentuk</w:t>
      </w:r>
      <w:r>
        <w:rPr>
          <w:spacing w:val="-5"/>
        </w:rPr>
        <w:t> </w:t>
      </w:r>
      <w:r>
        <w:rPr/>
        <w:t>Peraturan</w:t>
      </w:r>
      <w:r>
        <w:rPr>
          <w:spacing w:val="-8"/>
        </w:rPr>
        <w:t> </w:t>
      </w:r>
      <w:r>
        <w:rPr/>
        <w:t>Daerah (Perda) untuk merespon segala dampak yang akan muncul akibat akan munculnya aturan hukum turunan dari amandemen UU IKN.</w:t>
      </w:r>
    </w:p>
    <w:p>
      <w:pPr>
        <w:pStyle w:val="BodyText"/>
        <w:spacing w:line="360" w:lineRule="auto" w:before="3"/>
        <w:ind w:left="1276" w:right="697" w:firstLine="710"/>
      </w:pPr>
      <w:r>
        <w:rPr/>
        <w:t>Hal yang harus diperhatikan dalam hubungannya dengan kehadiran peraturan turunan di bawah UU IKN hasil revisi dan penyusunan Perda adalah kaitannya dengan UU No. 23 Tahun 2014 tentang Pemerintahan Daerah, UU No. 13 Tahun 2023 tentang Perubahan</w:t>
      </w:r>
      <w:r>
        <w:rPr>
          <w:spacing w:val="-17"/>
        </w:rPr>
        <w:t> </w:t>
      </w:r>
      <w:r>
        <w:rPr/>
        <w:t>Kedua</w:t>
      </w:r>
      <w:r>
        <w:rPr>
          <w:spacing w:val="-16"/>
        </w:rPr>
        <w:t> </w:t>
      </w:r>
      <w:r>
        <w:rPr/>
        <w:t>UU</w:t>
      </w:r>
      <w:r>
        <w:rPr>
          <w:spacing w:val="-17"/>
        </w:rPr>
        <w:t> </w:t>
      </w:r>
      <w:r>
        <w:rPr/>
        <w:t>12</w:t>
      </w:r>
      <w:r>
        <w:rPr>
          <w:spacing w:val="-16"/>
        </w:rPr>
        <w:t> </w:t>
      </w:r>
      <w:r>
        <w:rPr/>
        <w:t>Tahun</w:t>
      </w:r>
      <w:r>
        <w:rPr>
          <w:spacing w:val="-17"/>
        </w:rPr>
        <w:t> </w:t>
      </w:r>
      <w:r>
        <w:rPr/>
        <w:t>2011</w:t>
      </w:r>
      <w:r>
        <w:rPr>
          <w:spacing w:val="-16"/>
        </w:rPr>
        <w:t> </w:t>
      </w:r>
      <w:r>
        <w:rPr/>
        <w:t>tentang</w:t>
      </w:r>
      <w:r>
        <w:rPr>
          <w:spacing w:val="-17"/>
        </w:rPr>
        <w:t> </w:t>
      </w:r>
      <w:r>
        <w:rPr/>
        <w:t>PembentukanPeraturan Perundang-undangan, dan UU Nomor 6 Tahun 2023 tentang Cipta Kerja, sebagaimana digambarkan dalam Gambar 22.</w:t>
      </w:r>
    </w:p>
    <w:p>
      <w:pPr>
        <w:pStyle w:val="BodyText"/>
        <w:spacing w:before="4"/>
        <w:jc w:val="left"/>
        <w:rPr>
          <w:sz w:val="12"/>
        </w:rPr>
      </w:pPr>
      <w:r>
        <w:rPr>
          <w:sz w:val="12"/>
        </w:rPr>
        <w:drawing>
          <wp:anchor distT="0" distB="0" distL="0" distR="0" allowOverlap="1" layoutInCell="1" locked="0" behindDoc="1" simplePos="0" relativeHeight="487594496">
            <wp:simplePos x="0" y="0"/>
            <wp:positionH relativeFrom="page">
              <wp:posOffset>1612264</wp:posOffset>
            </wp:positionH>
            <wp:positionV relativeFrom="paragraph">
              <wp:posOffset>119147</wp:posOffset>
            </wp:positionV>
            <wp:extent cx="4836233" cy="311467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4836233" cy="3114675"/>
                    </a:xfrm>
                    <a:prstGeom prst="rect">
                      <a:avLst/>
                    </a:prstGeom>
                  </pic:spPr>
                </pic:pic>
              </a:graphicData>
            </a:graphic>
          </wp:anchor>
        </w:drawing>
      </w:r>
    </w:p>
    <w:p>
      <w:pPr>
        <w:spacing w:line="237" w:lineRule="auto" w:before="161"/>
        <w:ind w:left="3534" w:right="720" w:hanging="2790"/>
        <w:jc w:val="left"/>
        <w:rPr>
          <w:rFonts w:ascii="Lucida Sans Unicode"/>
          <w:sz w:val="22"/>
        </w:rPr>
      </w:pPr>
      <w:bookmarkStart w:name="_bookmark77" w:id="78"/>
      <w:bookmarkEnd w:id="78"/>
      <w:r>
        <w:rPr/>
      </w:r>
      <w:r>
        <w:rPr>
          <w:rFonts w:ascii="Tahoma"/>
          <w:b/>
          <w:w w:val="105"/>
          <w:sz w:val="22"/>
        </w:rPr>
        <w:t>Gambar</w:t>
      </w:r>
      <w:r>
        <w:rPr>
          <w:rFonts w:ascii="Tahoma"/>
          <w:b/>
          <w:spacing w:val="-17"/>
          <w:w w:val="105"/>
          <w:sz w:val="22"/>
        </w:rPr>
        <w:t> </w:t>
      </w:r>
      <w:r>
        <w:rPr>
          <w:rFonts w:ascii="Tahoma"/>
          <w:b/>
          <w:w w:val="105"/>
          <w:sz w:val="22"/>
        </w:rPr>
        <w:t>22.</w:t>
      </w:r>
      <w:r>
        <w:rPr>
          <w:rFonts w:ascii="Tahoma"/>
          <w:b/>
          <w:spacing w:val="-17"/>
          <w:w w:val="105"/>
          <w:sz w:val="22"/>
        </w:rPr>
        <w:t> </w:t>
      </w:r>
      <w:r>
        <w:rPr>
          <w:rFonts w:ascii="Lucida Sans Unicode"/>
          <w:w w:val="105"/>
          <w:sz w:val="22"/>
        </w:rPr>
        <w:t>Hubungan</w:t>
      </w:r>
      <w:r>
        <w:rPr>
          <w:rFonts w:ascii="Lucida Sans Unicode"/>
          <w:spacing w:val="-12"/>
          <w:w w:val="105"/>
          <w:sz w:val="22"/>
        </w:rPr>
        <w:t> </w:t>
      </w:r>
      <w:r>
        <w:rPr>
          <w:rFonts w:ascii="Lucida Sans Unicode"/>
          <w:w w:val="105"/>
          <w:sz w:val="22"/>
        </w:rPr>
        <w:t>Berbagai</w:t>
      </w:r>
      <w:r>
        <w:rPr>
          <w:rFonts w:ascii="Lucida Sans Unicode"/>
          <w:spacing w:val="-11"/>
          <w:w w:val="105"/>
          <w:sz w:val="22"/>
        </w:rPr>
        <w:t> </w:t>
      </w:r>
      <w:r>
        <w:rPr>
          <w:rFonts w:ascii="Lucida Sans Unicode"/>
          <w:w w:val="105"/>
          <w:sz w:val="22"/>
        </w:rPr>
        <w:t>Peraturan</w:t>
      </w:r>
      <w:r>
        <w:rPr>
          <w:rFonts w:ascii="Lucida Sans Unicode"/>
          <w:spacing w:val="-19"/>
          <w:w w:val="105"/>
          <w:sz w:val="22"/>
        </w:rPr>
        <w:t> </w:t>
      </w:r>
      <w:r>
        <w:rPr>
          <w:rFonts w:ascii="Lucida Sans Unicode"/>
          <w:w w:val="105"/>
          <w:sz w:val="22"/>
        </w:rPr>
        <w:t>dan</w:t>
      </w:r>
      <w:r>
        <w:rPr>
          <w:rFonts w:ascii="Lucida Sans Unicode"/>
          <w:spacing w:val="-11"/>
          <w:w w:val="105"/>
          <w:sz w:val="22"/>
        </w:rPr>
        <w:t> </w:t>
      </w:r>
      <w:r>
        <w:rPr>
          <w:rFonts w:ascii="Lucida Sans Unicode"/>
          <w:w w:val="105"/>
          <w:sz w:val="22"/>
        </w:rPr>
        <w:t>Penyusunan</w:t>
      </w:r>
      <w:r>
        <w:rPr>
          <w:rFonts w:ascii="Lucida Sans Unicode"/>
          <w:spacing w:val="-10"/>
          <w:w w:val="105"/>
          <w:sz w:val="22"/>
        </w:rPr>
        <w:t> </w:t>
      </w:r>
      <w:r>
        <w:rPr>
          <w:rFonts w:ascii="Lucida Sans Unicode"/>
          <w:w w:val="105"/>
          <w:sz w:val="22"/>
        </w:rPr>
        <w:t>Perda</w:t>
      </w:r>
      <w:r>
        <w:rPr>
          <w:rFonts w:ascii="Lucida Sans Unicode"/>
          <w:spacing w:val="-14"/>
          <w:w w:val="105"/>
          <w:sz w:val="22"/>
        </w:rPr>
        <w:t> </w:t>
      </w:r>
      <w:r>
        <w:rPr>
          <w:rFonts w:ascii="Lucida Sans Unicode"/>
          <w:w w:val="105"/>
          <w:sz w:val="22"/>
        </w:rPr>
        <w:t>di Kutai Kartanegara</w:t>
      </w:r>
    </w:p>
    <w:p>
      <w:pPr>
        <w:spacing w:before="179"/>
        <w:ind w:left="1560" w:right="0" w:firstLine="0"/>
        <w:jc w:val="left"/>
        <w:rPr>
          <w:sz w:val="24"/>
        </w:rPr>
      </w:pPr>
      <w:r>
        <w:rPr>
          <w:i/>
          <w:sz w:val="24"/>
        </w:rPr>
        <w:t>Sumber</w:t>
      </w:r>
      <w:r>
        <w:rPr>
          <w:sz w:val="24"/>
        </w:rPr>
        <w:t>:</w:t>
      </w:r>
      <w:r>
        <w:rPr>
          <w:spacing w:val="-4"/>
          <w:sz w:val="24"/>
        </w:rPr>
        <w:t> </w:t>
      </w:r>
      <w:r>
        <w:rPr>
          <w:sz w:val="24"/>
        </w:rPr>
        <w:t>KPPOD,</w:t>
      </w:r>
      <w:r>
        <w:rPr>
          <w:spacing w:val="-7"/>
          <w:sz w:val="24"/>
        </w:rPr>
        <w:t> </w:t>
      </w:r>
      <w:r>
        <w:rPr>
          <w:spacing w:val="-2"/>
          <w:sz w:val="24"/>
        </w:rPr>
        <w:t>2023.</w:t>
      </w:r>
    </w:p>
    <w:p>
      <w:pPr>
        <w:spacing w:after="0"/>
        <w:jc w:val="left"/>
        <w:rPr>
          <w:sz w:val="24"/>
        </w:rPr>
        <w:sectPr>
          <w:pgSz w:w="11910" w:h="16840"/>
          <w:pgMar w:header="0" w:footer="1186" w:top="1580" w:bottom="1380" w:left="1700" w:right="992"/>
        </w:sectPr>
      </w:pPr>
    </w:p>
    <w:p>
      <w:pPr>
        <w:pStyle w:val="BodyText"/>
        <w:spacing w:line="360" w:lineRule="auto" w:before="82"/>
        <w:ind w:left="1276" w:right="699" w:firstLine="710"/>
      </w:pPr>
      <w:r>
        <w:rPr/>
        <w:t>Menurut Gambar 22, Pemerintah Daerah dalam menyusun Perda harus memperhatikan UU Nomor 13 Tahun 2023 tentang Perubahan Kedua UU Nomor 12 Tahun 2011 tentang Pembentukan Peraturan Perundang-undangan. Menurut UU Ini, materi muatan Peraturan Daerah Kabupaten berisi materi muatan dalam rangka penyelenggaraan otonomi daerah dan tugas pembantuan, serta menampung</w:t>
      </w:r>
      <w:r>
        <w:rPr>
          <w:spacing w:val="-11"/>
        </w:rPr>
        <w:t> </w:t>
      </w:r>
      <w:r>
        <w:rPr/>
        <w:t>kondisi</w:t>
      </w:r>
      <w:r>
        <w:rPr>
          <w:spacing w:val="-10"/>
        </w:rPr>
        <w:t> </w:t>
      </w:r>
      <w:r>
        <w:rPr/>
        <w:t>khusus</w:t>
      </w:r>
      <w:r>
        <w:rPr>
          <w:spacing w:val="-10"/>
        </w:rPr>
        <w:t> </w:t>
      </w:r>
      <w:r>
        <w:rPr/>
        <w:t>daerah</w:t>
      </w:r>
      <w:r>
        <w:rPr>
          <w:spacing w:val="-11"/>
        </w:rPr>
        <w:t> </w:t>
      </w:r>
      <w:r>
        <w:rPr/>
        <w:t>dan/atau</w:t>
      </w:r>
      <w:r>
        <w:rPr>
          <w:spacing w:val="-10"/>
        </w:rPr>
        <w:t> </w:t>
      </w:r>
      <w:r>
        <w:rPr/>
        <w:t>penjabaran</w:t>
      </w:r>
      <w:r>
        <w:rPr>
          <w:spacing w:val="-10"/>
        </w:rPr>
        <w:t> </w:t>
      </w:r>
      <w:r>
        <w:rPr/>
        <w:t>lebih</w:t>
      </w:r>
      <w:r>
        <w:rPr>
          <w:spacing w:val="-15"/>
        </w:rPr>
        <w:t> </w:t>
      </w:r>
      <w:r>
        <w:rPr/>
        <w:t>lanjut pertauran perundang-undangan yang lebih tinggi. Selanjutnya, penting juga memperhatikan UU Nomor 23 Tahun 2014 tentang Pemerintahan Daerah yang mengatur bahwa materi muatan perda memuat penyelenggaraan otonomi daerah dan tugas pembantuan dan penjabatan lebih lanjut ketentuan peraturan perundang- undangan yang lebih tinggi. Perda juga dapat memuat materi muatan lokal sesuai dengan ketentuan peraturan perundang- undangan.</w:t>
      </w:r>
      <w:r>
        <w:rPr>
          <w:spacing w:val="-17"/>
        </w:rPr>
        <w:t> </w:t>
      </w:r>
      <w:r>
        <w:rPr/>
        <w:t>UU</w:t>
      </w:r>
      <w:r>
        <w:rPr>
          <w:spacing w:val="-16"/>
        </w:rPr>
        <w:t> </w:t>
      </w:r>
      <w:r>
        <w:rPr/>
        <w:t>lain</w:t>
      </w:r>
      <w:r>
        <w:rPr>
          <w:spacing w:val="-17"/>
        </w:rPr>
        <w:t> </w:t>
      </w:r>
      <w:r>
        <w:rPr/>
        <w:t>yang</w:t>
      </w:r>
      <w:r>
        <w:rPr>
          <w:spacing w:val="-16"/>
        </w:rPr>
        <w:t> </w:t>
      </w:r>
      <w:r>
        <w:rPr/>
        <w:t>penting</w:t>
      </w:r>
      <w:r>
        <w:rPr>
          <w:spacing w:val="-17"/>
        </w:rPr>
        <w:t> </w:t>
      </w:r>
      <w:r>
        <w:rPr/>
        <w:t>diperhatikan</w:t>
      </w:r>
      <w:r>
        <w:rPr>
          <w:spacing w:val="-16"/>
        </w:rPr>
        <w:t> </w:t>
      </w:r>
      <w:r>
        <w:rPr/>
        <w:t>dalam</w:t>
      </w:r>
      <w:r>
        <w:rPr>
          <w:spacing w:val="-17"/>
        </w:rPr>
        <w:t> </w:t>
      </w:r>
      <w:r>
        <w:rPr/>
        <w:t>menyusun</w:t>
      </w:r>
      <w:r>
        <w:rPr>
          <w:spacing w:val="-16"/>
        </w:rPr>
        <w:t> </w:t>
      </w:r>
      <w:r>
        <w:rPr/>
        <w:t>Perda yakni UU Nomor 6 Tahun 2023 tentang Cipta Kerja. UU ini menyatakan bahwa materi muatan Perda harus sesuai dengan ketentuan peraturan perundang-undangan yang lebih tinggi, asas pembentukan peraturan perundang-undangan yang baik, asas materi muatan peraturan perundang-undangan, dan putusan </w:t>
      </w:r>
      <w:r>
        <w:rPr>
          <w:spacing w:val="-2"/>
        </w:rPr>
        <w:t>pengadilan.</w:t>
      </w:r>
    </w:p>
    <w:p>
      <w:pPr>
        <w:pStyle w:val="BodyText"/>
        <w:spacing w:line="360" w:lineRule="auto" w:before="4"/>
        <w:ind w:left="1276" w:right="701" w:firstLine="710"/>
      </w:pPr>
      <w:r>
        <w:rPr/>
        <w:t>Ketiga UU tersebut akan mempengaruhi yuridis dari Perda, substansi Perda, prinsip Perda, dan nilai tambah Perda. Sejumlah kebermasalahan yang biasanya muncul dari sisi yuridis dalam penyusunan Perda (ambil contoh Perda Perpajakan Daerah), yakni relevansi acuan yuridis (salah mengacu peraturan di atasnya); penggunaan acuan yuridis sudah </w:t>
      </w:r>
      <w:r>
        <w:rPr>
          <w:i/>
        </w:rPr>
        <w:t>out of date </w:t>
      </w:r>
      <w:r>
        <w:rPr/>
        <w:t>(kadaluarsa/tidak berlaku); dan dasar hukum (yuridis) tidak lengkap.</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1" w:firstLine="710"/>
      </w:pPr>
      <w:r>
        <w:rPr/>
        <w:t>Adapun</w:t>
      </w:r>
      <w:r>
        <w:rPr>
          <w:spacing w:val="-17"/>
        </w:rPr>
        <w:t> </w:t>
      </w:r>
      <w:r>
        <w:rPr/>
        <w:t>kebermasalahan</w:t>
      </w:r>
      <w:r>
        <w:rPr>
          <w:spacing w:val="-16"/>
        </w:rPr>
        <w:t> </w:t>
      </w:r>
      <w:r>
        <w:rPr/>
        <w:t>di</w:t>
      </w:r>
      <w:r>
        <w:rPr>
          <w:spacing w:val="-17"/>
        </w:rPr>
        <w:t> </w:t>
      </w:r>
      <w:r>
        <w:rPr/>
        <w:t>sisi</w:t>
      </w:r>
      <w:r>
        <w:rPr>
          <w:spacing w:val="-16"/>
        </w:rPr>
        <w:t> </w:t>
      </w:r>
      <w:r>
        <w:rPr/>
        <w:t>substansi</w:t>
      </w:r>
      <w:r>
        <w:rPr>
          <w:spacing w:val="-17"/>
        </w:rPr>
        <w:t> </w:t>
      </w:r>
      <w:r>
        <w:rPr/>
        <w:t>yang</w:t>
      </w:r>
      <w:r>
        <w:rPr>
          <w:spacing w:val="-16"/>
        </w:rPr>
        <w:t> </w:t>
      </w:r>
      <w:r>
        <w:rPr/>
        <w:t>biasanya</w:t>
      </w:r>
      <w:r>
        <w:rPr>
          <w:spacing w:val="-17"/>
        </w:rPr>
        <w:t> </w:t>
      </w:r>
      <w:r>
        <w:rPr/>
        <w:t>terjadi yakni</w:t>
      </w:r>
      <w:r>
        <w:rPr>
          <w:spacing w:val="-11"/>
        </w:rPr>
        <w:t> </w:t>
      </w:r>
      <w:r>
        <w:rPr/>
        <w:t>keterkaitan</w:t>
      </w:r>
      <w:r>
        <w:rPr>
          <w:spacing w:val="-7"/>
        </w:rPr>
        <w:t> </w:t>
      </w:r>
      <w:r>
        <w:rPr/>
        <w:t>tujuan</w:t>
      </w:r>
      <w:r>
        <w:rPr>
          <w:spacing w:val="-8"/>
        </w:rPr>
        <w:t> </w:t>
      </w:r>
      <w:r>
        <w:rPr/>
        <w:t>dan</w:t>
      </w:r>
      <w:r>
        <w:rPr>
          <w:spacing w:val="-7"/>
        </w:rPr>
        <w:t> </w:t>
      </w:r>
      <w:r>
        <w:rPr/>
        <w:t>isi</w:t>
      </w:r>
      <w:r>
        <w:rPr>
          <w:spacing w:val="-11"/>
        </w:rPr>
        <w:t> </w:t>
      </w:r>
      <w:r>
        <w:rPr/>
        <w:t>yang</w:t>
      </w:r>
      <w:r>
        <w:rPr>
          <w:spacing w:val="-8"/>
        </w:rPr>
        <w:t> </w:t>
      </w:r>
      <w:r>
        <w:rPr/>
        <w:t>tidak</w:t>
      </w:r>
      <w:r>
        <w:rPr>
          <w:spacing w:val="-6"/>
        </w:rPr>
        <w:t> </w:t>
      </w:r>
      <w:r>
        <w:rPr/>
        <w:t>sejalan;</w:t>
      </w:r>
      <w:r>
        <w:rPr>
          <w:spacing w:val="-10"/>
        </w:rPr>
        <w:t> </w:t>
      </w:r>
      <w:r>
        <w:rPr/>
        <w:t>kesesuaian</w:t>
      </w:r>
      <w:r>
        <w:rPr>
          <w:spacing w:val="-7"/>
        </w:rPr>
        <w:t> </w:t>
      </w:r>
      <w:r>
        <w:rPr/>
        <w:t>filosofi dan prinsip pungutan tidak sesuai; objek tidak jelas; subjek (wajib pungut) tidak jelas; hak dan kewajiban wajib pungut tidak jelas; standar syarat, waktu, biaya, prosedur, struktur, dan besaran tarif yang kurang jelas.</w:t>
      </w:r>
    </w:p>
    <w:p>
      <w:pPr>
        <w:pStyle w:val="BodyText"/>
        <w:spacing w:line="360" w:lineRule="auto" w:before="3"/>
        <w:ind w:left="1276" w:right="699" w:firstLine="710"/>
      </w:pPr>
      <w:r>
        <w:rPr/>
        <w:t>Selanjutnya kebermasalahan prinsip terjadi karena tidak memperhatikan keutuhan wilayah ekonomi nasional dan prinsip perdagangan</w:t>
      </w:r>
      <w:r>
        <w:rPr>
          <w:spacing w:val="-1"/>
        </w:rPr>
        <w:t> </w:t>
      </w:r>
      <w:r>
        <w:rPr/>
        <w:t>domestik bebas</w:t>
      </w:r>
      <w:r>
        <w:rPr>
          <w:spacing w:val="-5"/>
        </w:rPr>
        <w:t> </w:t>
      </w:r>
      <w:r>
        <w:rPr/>
        <w:t>(free</w:t>
      </w:r>
      <w:r>
        <w:rPr>
          <w:spacing w:val="-5"/>
        </w:rPr>
        <w:t> </w:t>
      </w:r>
      <w:r>
        <w:rPr/>
        <w:t>internal</w:t>
      </w:r>
      <w:r>
        <w:rPr>
          <w:spacing w:val="-5"/>
        </w:rPr>
        <w:t> </w:t>
      </w:r>
      <w:r>
        <w:rPr/>
        <w:t>trade);</w:t>
      </w:r>
      <w:r>
        <w:rPr>
          <w:spacing w:val="-4"/>
        </w:rPr>
        <w:t> </w:t>
      </w:r>
      <w:r>
        <w:rPr/>
        <w:t>persaingan</w:t>
      </w:r>
      <w:r>
        <w:rPr>
          <w:spacing w:val="-6"/>
        </w:rPr>
        <w:t> </w:t>
      </w:r>
      <w:r>
        <w:rPr/>
        <w:t>sehat; dampak ekonomi negative; akses Masyarakat dan kepentingan umum; serta pelanggaran kewenangan pemerintah. yang harus diperhatikan tampak dalam Tabel 15, yakni terkait masalah yuridis, substansi, dan hal-hal prinsipil.</w:t>
      </w:r>
    </w:p>
    <w:p>
      <w:pPr>
        <w:pStyle w:val="BodyText"/>
        <w:spacing w:line="360" w:lineRule="auto"/>
        <w:ind w:left="1276" w:right="702" w:firstLine="710"/>
      </w:pPr>
      <w:r>
        <w:rPr/>
        <w:t>Terungkap dalam penelitian di lapangan, ketentuan hukum yang jelas tentang pengelolaan SDM di wilayah yang terdelineasi juga belum ada dan masih ditunggu kantor dinas terkait di kabupaten asal yang terdampak. Sejauh ini, belum ada komunikasi dan pemberitahuan OIKN mengenai rencana pengalihan ASN, mengenai jumlah dan kualifikasi ASN yang akan diambil. ASN yang baik bisa diambil OIKN, namun disadari dan patut dipertahankan bahwa SDM yang baik atau berkualitas tetap dibutuhkan di Kabupaten Kukar.</w:t>
      </w:r>
    </w:p>
    <w:p>
      <w:pPr>
        <w:pStyle w:val="BodyText"/>
        <w:spacing w:line="360" w:lineRule="auto" w:before="2"/>
        <w:ind w:left="1276" w:right="701" w:firstLine="710"/>
      </w:pPr>
      <w:r>
        <w:rPr/>
        <w:t>Masalah dalam bidang regulasi lainnya yakni belum adanya regulasi mengenai status wilayah-wilayah di sekitar IKN. Muncul pertanyaan dari wilayah yang tidak terdelienasi. Akan diperankan sebagai mitra atau hanya sebagai daerah penyangga. Bila sebagai mitra, maka pembangunan tentunya harus seiring sejalan antara wilayah</w:t>
      </w:r>
      <w:r>
        <w:rPr>
          <w:spacing w:val="-19"/>
        </w:rPr>
        <w:t> </w:t>
      </w:r>
      <w:r>
        <w:rPr/>
        <w:t>inti</w:t>
      </w:r>
      <w:r>
        <w:rPr>
          <w:spacing w:val="-17"/>
        </w:rPr>
        <w:t> </w:t>
      </w:r>
      <w:r>
        <w:rPr/>
        <w:t>IKN</w:t>
      </w:r>
      <w:r>
        <w:rPr>
          <w:spacing w:val="-20"/>
        </w:rPr>
        <w:t> </w:t>
      </w:r>
      <w:r>
        <w:rPr/>
        <w:t>dengan</w:t>
      </w:r>
      <w:r>
        <w:rPr>
          <w:spacing w:val="-16"/>
        </w:rPr>
        <w:t> </w:t>
      </w:r>
      <w:r>
        <w:rPr/>
        <w:t>daerah</w:t>
      </w:r>
      <w:r>
        <w:rPr>
          <w:spacing w:val="-19"/>
        </w:rPr>
        <w:t> </w:t>
      </w:r>
      <w:r>
        <w:rPr/>
        <w:t>sekitar</w:t>
      </w:r>
      <w:r>
        <w:rPr>
          <w:spacing w:val="-17"/>
        </w:rPr>
        <w:t> </w:t>
      </w:r>
      <w:r>
        <w:rPr/>
        <w:t>sebagai</w:t>
      </w:r>
      <w:r>
        <w:rPr>
          <w:spacing w:val="-16"/>
        </w:rPr>
        <w:t> </w:t>
      </w:r>
      <w:r>
        <w:rPr/>
        <w:t>mitra.</w:t>
      </w:r>
      <w:r>
        <w:rPr>
          <w:spacing w:val="-17"/>
        </w:rPr>
        <w:t> </w:t>
      </w:r>
      <w:r>
        <w:rPr/>
        <w:t>Berbeda</w:t>
      </w:r>
      <w:r>
        <w:rPr>
          <w:spacing w:val="-16"/>
        </w:rPr>
        <w:t> </w:t>
      </w:r>
      <w:r>
        <w:rPr/>
        <w:t>apabila</w:t>
      </w:r>
    </w:p>
    <w:p>
      <w:pPr>
        <w:pStyle w:val="BodyText"/>
        <w:spacing w:after="0" w:line="360" w:lineRule="auto"/>
        <w:sectPr>
          <w:pgSz w:w="11910" w:h="16840"/>
          <w:pgMar w:header="0" w:footer="1186" w:top="1580" w:bottom="1380" w:left="1700" w:right="992"/>
        </w:sectPr>
      </w:pPr>
    </w:p>
    <w:p>
      <w:pPr>
        <w:pStyle w:val="BodyText"/>
        <w:spacing w:line="360" w:lineRule="auto" w:before="82"/>
        <w:ind w:left="1276" w:right="700"/>
      </w:pPr>
      <w:r>
        <w:rPr/>
        <w:t>hanya sebagai daerah penyangga, yang diasumsikan tetap harus mencari jalan sendiri untuk dapat membangun wilayahnya. Untuk wilayah yang akan menjadi wilayah IKN pun, seperti Kecamatan Muara Jawa, tetap muncul pertanyaan, akan dikembangkan sebagai apa. Kecamatan Muara Jawa diketahui masuk dalam wilayah pengembangan 9. Namun demikian, belum diketahui perancanaan untuk wilayah tersebut, dan kapan pembangunan akan dilakukan.</w:t>
      </w:r>
    </w:p>
    <w:p>
      <w:pPr>
        <w:pStyle w:val="BodyText"/>
        <w:spacing w:line="360" w:lineRule="auto" w:before="4"/>
        <w:ind w:left="1276" w:right="700" w:firstLine="710"/>
      </w:pPr>
      <w:r>
        <w:rPr/>
        <w:t>Saat ini, perijinan dalam wilayah yang terdelienasi IKN sudah tidak dapat dilayani oleh Pemerintah Kabupaten Kutai Kartanegara. Khususnya yang berkaitan dengan ijin untuk melakukan usaha olah perusahaan besar. Perijinan dalam wilayah tersebut sudah berada di bawah kewenangan IKN. Sementara untuk pelayanan dasar, masih tetap bisa dilakukan. Pemerintah kabupaten kartanegara masih menyelenggarakan pelayanan masyarakat seperti biasanya, bahkan tetap dialokasikan anggaran untuk pelayanan dan pembangunan di wilayah wilayah terdelienasi tersebut, hingga tahun 2024.</w:t>
      </w:r>
    </w:p>
    <w:p>
      <w:pPr>
        <w:pStyle w:val="BodyText"/>
        <w:spacing w:after="0" w:line="360" w:lineRule="auto"/>
        <w:sectPr>
          <w:pgSz w:w="11910" w:h="16840"/>
          <w:pgMar w:header="0" w:footer="1186" w:top="1580" w:bottom="1380" w:left="1700" w:right="992"/>
        </w:sectPr>
      </w:pPr>
    </w:p>
    <w:p>
      <w:pPr>
        <w:pStyle w:val="Heading1"/>
        <w:spacing w:line="362" w:lineRule="auto"/>
        <w:ind w:left="3898" w:right="4037" w:hanging="77"/>
        <w:rPr>
          <w:rFonts w:ascii="Segoe UI"/>
        </w:rPr>
      </w:pPr>
      <w:r>
        <w:rPr>
          <w:rFonts w:ascii="Segoe UI"/>
        </w:rPr>
        <w:t>BAB VI </w:t>
      </w:r>
      <w:bookmarkStart w:name="_bookmark78" w:id="79"/>
      <w:bookmarkEnd w:id="79"/>
      <w:r>
        <w:rPr>
          <w:rFonts w:ascii="Segoe UI"/>
          <w:spacing w:val="-2"/>
        </w:rPr>
        <w:t>P</w:t>
      </w:r>
      <w:r>
        <w:rPr>
          <w:rFonts w:ascii="Segoe UI"/>
          <w:spacing w:val="-2"/>
        </w:rPr>
        <w:t>ENUTUP</w:t>
      </w:r>
    </w:p>
    <w:p>
      <w:pPr>
        <w:pStyle w:val="BodyText"/>
        <w:spacing w:before="164"/>
        <w:jc w:val="left"/>
        <w:rPr>
          <w:b/>
          <w:sz w:val="28"/>
        </w:rPr>
      </w:pPr>
    </w:p>
    <w:p>
      <w:pPr>
        <w:pStyle w:val="BodyText"/>
        <w:spacing w:line="360" w:lineRule="auto"/>
        <w:ind w:left="566" w:right="705" w:firstLine="710"/>
      </w:pPr>
      <w:r>
        <w:rPr/>
        <w:t>Berdasarkan hasil analisisis terhadap temuan hasil penelitian lapangan dapat dikemukakan pokok-pokok kesimpulan dan rekomendasi sebagai berikut:</w:t>
      </w:r>
    </w:p>
    <w:p>
      <w:pPr>
        <w:pStyle w:val="Heading2"/>
        <w:numPr>
          <w:ilvl w:val="1"/>
          <w:numId w:val="36"/>
        </w:numPr>
        <w:tabs>
          <w:tab w:pos="977" w:val="left" w:leader="none"/>
        </w:tabs>
        <w:spacing w:line="240" w:lineRule="auto" w:before="234" w:after="0"/>
        <w:ind w:left="977" w:right="0" w:hanging="411"/>
        <w:jc w:val="both"/>
      </w:pPr>
      <w:bookmarkStart w:name="_bookmark79" w:id="80"/>
      <w:bookmarkEnd w:id="80"/>
      <w:r>
        <w:rPr>
          <w:b w:val="0"/>
        </w:rPr>
      </w:r>
      <w:r>
        <w:rPr>
          <w:spacing w:val="-2"/>
        </w:rPr>
        <w:t>Kesimpulan</w:t>
      </w:r>
    </w:p>
    <w:p>
      <w:pPr>
        <w:pStyle w:val="ListParagraph"/>
        <w:numPr>
          <w:ilvl w:val="2"/>
          <w:numId w:val="36"/>
        </w:numPr>
        <w:tabs>
          <w:tab w:pos="1274" w:val="left" w:leader="none"/>
          <w:tab w:pos="1276" w:val="left" w:leader="none"/>
        </w:tabs>
        <w:spacing w:line="360" w:lineRule="auto" w:before="224" w:after="0"/>
        <w:ind w:left="1276" w:right="701" w:hanging="284"/>
        <w:jc w:val="both"/>
        <w:rPr>
          <w:sz w:val="24"/>
        </w:rPr>
      </w:pPr>
      <w:r>
        <w:rPr>
          <w:sz w:val="24"/>
        </w:rPr>
        <w:t>Hadirnya Ibu Kota Nusantara membawa dampak berkurangnya luas wilayah Kabupaten Kutai Kartanegara sebesar 162.597,8 ha, yang meliputi 6 (lenam) kecamatan yaitu Kecamatan Loa Kulu (meliputi 2 desa/kelurahan), Loa Janan (5 desa/kelurahan), Muara Jawa (8 desa/kelurahan), Samboja (13 desa/kelurahan), Samboja Barat (10 desa/kelurahan), dan Sanga-Sanga (1 desa/kelurahan).</w:t>
      </w:r>
    </w:p>
    <w:p>
      <w:pPr>
        <w:pStyle w:val="ListParagraph"/>
        <w:numPr>
          <w:ilvl w:val="2"/>
          <w:numId w:val="36"/>
        </w:numPr>
        <w:tabs>
          <w:tab w:pos="1274" w:val="left" w:leader="none"/>
          <w:tab w:pos="1276" w:val="left" w:leader="none"/>
        </w:tabs>
        <w:spacing w:line="360" w:lineRule="auto" w:before="3" w:after="0"/>
        <w:ind w:left="1276" w:right="700" w:hanging="284"/>
        <w:jc w:val="both"/>
        <w:rPr>
          <w:sz w:val="24"/>
        </w:rPr>
      </w:pPr>
      <w:r>
        <w:rPr>
          <w:sz w:val="24"/>
        </w:rPr>
        <w:t>Dampak IKN terhadap potensi pendapatan Kabupaten Kutai Kartanegara dapat mencapai Rp5,8 T dengan kehilangan terbesar bersumber dari DBH Migas sebesar kurang lebih Rp1,5T, sedangkan sumber</w:t>
      </w:r>
      <w:r>
        <w:rPr>
          <w:spacing w:val="-8"/>
          <w:sz w:val="24"/>
        </w:rPr>
        <w:t> </w:t>
      </w:r>
      <w:r>
        <w:rPr>
          <w:sz w:val="24"/>
        </w:rPr>
        <w:t>lainnya</w:t>
      </w:r>
      <w:r>
        <w:rPr>
          <w:spacing w:val="-7"/>
          <w:sz w:val="24"/>
        </w:rPr>
        <w:t> </w:t>
      </w:r>
      <w:r>
        <w:rPr>
          <w:sz w:val="24"/>
        </w:rPr>
        <w:t>dari</w:t>
      </w:r>
      <w:r>
        <w:rPr>
          <w:spacing w:val="-6"/>
          <w:sz w:val="24"/>
        </w:rPr>
        <w:t> </w:t>
      </w:r>
      <w:r>
        <w:rPr>
          <w:sz w:val="24"/>
        </w:rPr>
        <w:t>pajak</w:t>
      </w:r>
      <w:r>
        <w:rPr>
          <w:spacing w:val="-8"/>
          <w:sz w:val="24"/>
        </w:rPr>
        <w:t> </w:t>
      </w:r>
      <w:r>
        <w:rPr>
          <w:sz w:val="24"/>
        </w:rPr>
        <w:t>daerah</w:t>
      </w:r>
      <w:r>
        <w:rPr>
          <w:spacing w:val="-11"/>
          <w:sz w:val="24"/>
        </w:rPr>
        <w:t> </w:t>
      </w:r>
      <w:r>
        <w:rPr>
          <w:sz w:val="24"/>
        </w:rPr>
        <w:t>(Rp18M);</w:t>
      </w:r>
      <w:r>
        <w:rPr>
          <w:spacing w:val="-5"/>
          <w:sz w:val="24"/>
        </w:rPr>
        <w:t> </w:t>
      </w:r>
      <w:r>
        <w:rPr>
          <w:sz w:val="24"/>
        </w:rPr>
        <w:t>laiin-lain</w:t>
      </w:r>
      <w:r>
        <w:rPr>
          <w:spacing w:val="-7"/>
          <w:sz w:val="24"/>
        </w:rPr>
        <w:t> </w:t>
      </w:r>
      <w:r>
        <w:rPr>
          <w:sz w:val="24"/>
        </w:rPr>
        <w:t>Pendapatan</w:t>
      </w:r>
      <w:r>
        <w:rPr>
          <w:spacing w:val="-10"/>
          <w:sz w:val="24"/>
        </w:rPr>
        <w:t> </w:t>
      </w:r>
      <w:r>
        <w:rPr>
          <w:sz w:val="24"/>
        </w:rPr>
        <w:t>Asli Daerah yang Sah (Rp47,5M); DBH Minerba (Rp520M); DBH Migas (Rp1.5T); DAK Fisik (Rp89 M); Dana</w:t>
      </w:r>
      <w:r>
        <w:rPr>
          <w:spacing w:val="-2"/>
          <w:sz w:val="24"/>
        </w:rPr>
        <w:t> </w:t>
      </w:r>
      <w:r>
        <w:rPr>
          <w:sz w:val="24"/>
        </w:rPr>
        <w:t>Desa</w:t>
      </w:r>
      <w:r>
        <w:rPr>
          <w:spacing w:val="-2"/>
          <w:sz w:val="24"/>
        </w:rPr>
        <w:t> </w:t>
      </w:r>
      <w:r>
        <w:rPr>
          <w:sz w:val="24"/>
        </w:rPr>
        <w:t>(Rp32M); dan</w:t>
      </w:r>
      <w:r>
        <w:rPr>
          <w:spacing w:val="-1"/>
          <w:sz w:val="24"/>
        </w:rPr>
        <w:t> </w:t>
      </w:r>
      <w:r>
        <w:rPr>
          <w:sz w:val="24"/>
        </w:rPr>
        <w:t>investasi aset (Rp4 T).</w:t>
      </w:r>
    </w:p>
    <w:p>
      <w:pPr>
        <w:pStyle w:val="ListParagraph"/>
        <w:numPr>
          <w:ilvl w:val="2"/>
          <w:numId w:val="36"/>
        </w:numPr>
        <w:tabs>
          <w:tab w:pos="1274" w:val="left" w:leader="none"/>
          <w:tab w:pos="1276" w:val="left" w:leader="none"/>
        </w:tabs>
        <w:spacing w:line="360" w:lineRule="auto" w:before="0" w:after="0"/>
        <w:ind w:left="1276" w:right="701" w:hanging="284"/>
        <w:jc w:val="both"/>
        <w:rPr>
          <w:sz w:val="24"/>
        </w:rPr>
      </w:pPr>
      <w:r>
        <w:rPr>
          <w:sz w:val="24"/>
        </w:rPr>
        <w:t>Dampak IKN terhadap potensi pengeluaran Kabupaten Kutai Kartanegara mencapai Rp599,203,696,139 yang bersumber dari alokasi anggaran di 6 kecamatan.</w:t>
      </w:r>
    </w:p>
    <w:p>
      <w:pPr>
        <w:pStyle w:val="ListParagraph"/>
        <w:numPr>
          <w:ilvl w:val="2"/>
          <w:numId w:val="36"/>
        </w:numPr>
        <w:tabs>
          <w:tab w:pos="1274" w:val="left" w:leader="none"/>
          <w:tab w:pos="1276" w:val="left" w:leader="none"/>
        </w:tabs>
        <w:spacing w:line="360" w:lineRule="auto" w:before="0" w:after="0"/>
        <w:ind w:left="1276" w:right="707" w:hanging="284"/>
        <w:jc w:val="both"/>
        <w:rPr>
          <w:sz w:val="24"/>
        </w:rPr>
      </w:pPr>
      <w:r>
        <w:rPr>
          <w:sz w:val="24"/>
        </w:rPr>
        <w:t>Selain dampak ekonomi, kehadiran IKN juga berdampak terhadap aspek politik, sosial, teknologi, lingkungan, dan hukum. Dampak keseluruhan</w:t>
      </w:r>
      <w:r>
        <w:rPr>
          <w:spacing w:val="-17"/>
          <w:sz w:val="24"/>
        </w:rPr>
        <w:t> </w:t>
      </w:r>
      <w:r>
        <w:rPr>
          <w:sz w:val="24"/>
        </w:rPr>
        <w:t>dapat</w:t>
      </w:r>
      <w:r>
        <w:rPr>
          <w:spacing w:val="-16"/>
          <w:sz w:val="24"/>
        </w:rPr>
        <w:t> </w:t>
      </w:r>
      <w:r>
        <w:rPr>
          <w:sz w:val="24"/>
        </w:rPr>
        <w:t>terjadi</w:t>
      </w:r>
      <w:r>
        <w:rPr>
          <w:spacing w:val="-17"/>
          <w:sz w:val="24"/>
        </w:rPr>
        <w:t> </w:t>
      </w:r>
      <w:r>
        <w:rPr>
          <w:sz w:val="24"/>
        </w:rPr>
        <w:t>baik</w:t>
      </w:r>
      <w:r>
        <w:rPr>
          <w:spacing w:val="-16"/>
          <w:sz w:val="24"/>
        </w:rPr>
        <w:t> </w:t>
      </w:r>
      <w:r>
        <w:rPr>
          <w:sz w:val="24"/>
        </w:rPr>
        <w:t>untuk</w:t>
      </w:r>
      <w:r>
        <w:rPr>
          <w:spacing w:val="-17"/>
          <w:sz w:val="24"/>
        </w:rPr>
        <w:t> </w:t>
      </w:r>
      <w:r>
        <w:rPr>
          <w:sz w:val="24"/>
        </w:rPr>
        <w:t>hal</w:t>
      </w:r>
      <w:r>
        <w:rPr>
          <w:spacing w:val="-16"/>
          <w:sz w:val="24"/>
        </w:rPr>
        <w:t> </w:t>
      </w:r>
      <w:r>
        <w:rPr>
          <w:sz w:val="24"/>
        </w:rPr>
        <w:t>yang</w:t>
      </w:r>
      <w:r>
        <w:rPr>
          <w:spacing w:val="-17"/>
          <w:sz w:val="24"/>
        </w:rPr>
        <w:t> </w:t>
      </w:r>
      <w:r>
        <w:rPr>
          <w:sz w:val="24"/>
        </w:rPr>
        <w:t>positif</w:t>
      </w:r>
      <w:r>
        <w:rPr>
          <w:spacing w:val="-16"/>
          <w:sz w:val="24"/>
        </w:rPr>
        <w:t> </w:t>
      </w:r>
      <w:r>
        <w:rPr>
          <w:sz w:val="24"/>
        </w:rPr>
        <w:t>maupun</w:t>
      </w:r>
      <w:r>
        <w:rPr>
          <w:spacing w:val="-16"/>
          <w:sz w:val="24"/>
        </w:rPr>
        <w:t> </w:t>
      </w:r>
      <w:r>
        <w:rPr>
          <w:sz w:val="24"/>
        </w:rPr>
        <w:t>negatif.</w:t>
      </w:r>
    </w:p>
    <w:p>
      <w:pPr>
        <w:pStyle w:val="ListParagraph"/>
        <w:spacing w:after="0" w:line="360" w:lineRule="auto"/>
        <w:jc w:val="both"/>
        <w:rPr>
          <w:sz w:val="24"/>
        </w:rPr>
        <w:sectPr>
          <w:pgSz w:w="11910" w:h="16840"/>
          <w:pgMar w:header="0" w:footer="1186" w:top="1580" w:bottom="1380" w:left="1700" w:right="992"/>
        </w:sectPr>
      </w:pPr>
    </w:p>
    <w:p>
      <w:pPr>
        <w:pStyle w:val="ListParagraph"/>
        <w:numPr>
          <w:ilvl w:val="2"/>
          <w:numId w:val="36"/>
        </w:numPr>
        <w:tabs>
          <w:tab w:pos="1274" w:val="left" w:leader="none"/>
          <w:tab w:pos="1276" w:val="left" w:leader="none"/>
        </w:tabs>
        <w:spacing w:line="360" w:lineRule="auto" w:before="82" w:after="0"/>
        <w:ind w:left="1276" w:right="702" w:hanging="284"/>
        <w:jc w:val="both"/>
        <w:rPr>
          <w:sz w:val="24"/>
        </w:rPr>
      </w:pPr>
      <w:r>
        <w:rPr>
          <w:sz w:val="24"/>
        </w:rPr>
        <w:t>Selama</w:t>
      </w:r>
      <w:r>
        <w:rPr>
          <w:spacing w:val="-3"/>
          <w:sz w:val="24"/>
        </w:rPr>
        <w:t> </w:t>
      </w:r>
      <w:r>
        <w:rPr>
          <w:sz w:val="24"/>
        </w:rPr>
        <w:t>ini</w:t>
      </w:r>
      <w:r>
        <w:rPr>
          <w:spacing w:val="-1"/>
          <w:sz w:val="24"/>
        </w:rPr>
        <w:t> </w:t>
      </w:r>
      <w:r>
        <w:rPr>
          <w:sz w:val="24"/>
        </w:rPr>
        <w:t>belum</w:t>
      </w:r>
      <w:r>
        <w:rPr>
          <w:spacing w:val="-1"/>
          <w:sz w:val="24"/>
        </w:rPr>
        <w:t> </w:t>
      </w:r>
      <w:r>
        <w:rPr>
          <w:sz w:val="24"/>
        </w:rPr>
        <w:t>terbangun</w:t>
      </w:r>
      <w:r>
        <w:rPr>
          <w:spacing w:val="-2"/>
          <w:sz w:val="24"/>
        </w:rPr>
        <w:t> </w:t>
      </w:r>
      <w:r>
        <w:rPr>
          <w:sz w:val="24"/>
        </w:rPr>
        <w:t>komunikasi</w:t>
      </w:r>
      <w:r>
        <w:rPr>
          <w:spacing w:val="-1"/>
          <w:sz w:val="24"/>
        </w:rPr>
        <w:t> </w:t>
      </w:r>
      <w:r>
        <w:rPr>
          <w:sz w:val="24"/>
        </w:rPr>
        <w:t>yang</w:t>
      </w:r>
      <w:r>
        <w:rPr>
          <w:spacing w:val="-3"/>
          <w:sz w:val="24"/>
        </w:rPr>
        <w:t> </w:t>
      </w:r>
      <w:r>
        <w:rPr>
          <w:sz w:val="24"/>
        </w:rPr>
        <w:t>intensif antara</w:t>
      </w:r>
      <w:r>
        <w:rPr>
          <w:spacing w:val="-3"/>
          <w:sz w:val="24"/>
        </w:rPr>
        <w:t> </w:t>
      </w:r>
      <w:r>
        <w:rPr>
          <w:sz w:val="24"/>
        </w:rPr>
        <w:t>Otorita Ibu Kota Nusantara dengan Pemerintah Daerah Kabupaten Kutai Kartanegara. Hal ini mengakibatkan banyak timbul praduga yang dapat menciptakan </w:t>
      </w:r>
      <w:r>
        <w:rPr>
          <w:i/>
          <w:sz w:val="24"/>
        </w:rPr>
        <w:t>distrust </w:t>
      </w:r>
      <w:r>
        <w:rPr>
          <w:sz w:val="24"/>
        </w:rPr>
        <w:t>terhadap pembangunan IKN.</w:t>
      </w:r>
    </w:p>
    <w:p>
      <w:pPr>
        <w:pStyle w:val="BodyText"/>
        <w:jc w:val="left"/>
      </w:pPr>
    </w:p>
    <w:p>
      <w:pPr>
        <w:pStyle w:val="BodyText"/>
        <w:spacing w:before="82"/>
        <w:jc w:val="left"/>
      </w:pPr>
    </w:p>
    <w:p>
      <w:pPr>
        <w:pStyle w:val="Heading2"/>
        <w:numPr>
          <w:ilvl w:val="1"/>
          <w:numId w:val="36"/>
        </w:numPr>
        <w:tabs>
          <w:tab w:pos="977" w:val="left" w:leader="none"/>
        </w:tabs>
        <w:spacing w:line="240" w:lineRule="auto" w:before="0" w:after="0"/>
        <w:ind w:left="977" w:right="0" w:hanging="411"/>
        <w:jc w:val="both"/>
      </w:pPr>
      <w:bookmarkStart w:name="_bookmark80" w:id="81"/>
      <w:bookmarkEnd w:id="81"/>
      <w:r>
        <w:rPr>
          <w:b w:val="0"/>
        </w:rPr>
      </w:r>
      <w:r>
        <w:rPr>
          <w:spacing w:val="-2"/>
        </w:rPr>
        <w:t>Rekomendasi</w:t>
      </w:r>
    </w:p>
    <w:p>
      <w:pPr>
        <w:pStyle w:val="ListParagraph"/>
        <w:numPr>
          <w:ilvl w:val="2"/>
          <w:numId w:val="36"/>
        </w:numPr>
        <w:tabs>
          <w:tab w:pos="1712" w:val="left" w:leader="none"/>
          <w:tab w:pos="1714" w:val="left" w:leader="none"/>
        </w:tabs>
        <w:spacing w:line="360" w:lineRule="auto" w:before="224" w:after="0"/>
        <w:ind w:left="1714" w:right="704" w:hanging="361"/>
        <w:jc w:val="both"/>
        <w:rPr>
          <w:sz w:val="24"/>
        </w:rPr>
      </w:pPr>
      <w:r>
        <w:rPr>
          <w:sz w:val="24"/>
        </w:rPr>
        <w:t>Dalam jangka pendek (tahun 2024) tidak ada dampak yang signifikan dari kehadiran IKN kepada Kabupaten Kutai Kartanegara. Penerimaan dari DBH Migas dan Minerba masih tetap dialokasikan untuk Pemerintah Kabupaten Kutai Kartanegara. Demikian pula alokasi DAK Fisik. Namun demikian, Pemerintah Daerah Kabupaten Kutai Kartanegara sudah harus segera mensahkan Perda tata ruang yang baru.</w:t>
      </w:r>
    </w:p>
    <w:p>
      <w:pPr>
        <w:pStyle w:val="ListParagraph"/>
        <w:numPr>
          <w:ilvl w:val="2"/>
          <w:numId w:val="36"/>
        </w:numPr>
        <w:tabs>
          <w:tab w:pos="1712" w:val="left" w:leader="none"/>
          <w:tab w:pos="1714" w:val="left" w:leader="none"/>
        </w:tabs>
        <w:spacing w:line="360" w:lineRule="auto" w:before="0" w:after="0"/>
        <w:ind w:left="1714" w:right="700" w:hanging="361"/>
        <w:jc w:val="both"/>
        <w:rPr>
          <w:sz w:val="24"/>
        </w:rPr>
      </w:pPr>
      <w:r>
        <w:rPr>
          <w:sz w:val="24"/>
        </w:rPr>
        <w:t>Dalam jangka menengah (2024 – 2029), diasumsikan Pemerintahan Otorita IKN sudah berjalan, sehingga akan terjadi pengurangan dari sektor DBH Migas dan minerba. Menghadapi hal ini, Pemerintah Kabupaten Kutai Kartanegara harus menyampaikan</w:t>
      </w:r>
      <w:r>
        <w:rPr>
          <w:spacing w:val="-17"/>
          <w:sz w:val="24"/>
        </w:rPr>
        <w:t> </w:t>
      </w:r>
      <w:r>
        <w:rPr>
          <w:sz w:val="24"/>
        </w:rPr>
        <w:t>kepada</w:t>
      </w:r>
      <w:r>
        <w:rPr>
          <w:spacing w:val="-16"/>
          <w:sz w:val="24"/>
        </w:rPr>
        <w:t> </w:t>
      </w:r>
      <w:r>
        <w:rPr>
          <w:sz w:val="24"/>
        </w:rPr>
        <w:t>Kementerian</w:t>
      </w:r>
      <w:r>
        <w:rPr>
          <w:spacing w:val="-17"/>
          <w:sz w:val="24"/>
        </w:rPr>
        <w:t> </w:t>
      </w:r>
      <w:r>
        <w:rPr>
          <w:sz w:val="24"/>
        </w:rPr>
        <w:t>Keuangan</w:t>
      </w:r>
      <w:r>
        <w:rPr>
          <w:spacing w:val="-16"/>
          <w:sz w:val="24"/>
        </w:rPr>
        <w:t> </w:t>
      </w:r>
      <w:r>
        <w:rPr>
          <w:sz w:val="24"/>
        </w:rPr>
        <w:t>dan</w:t>
      </w:r>
      <w:r>
        <w:rPr>
          <w:spacing w:val="-17"/>
          <w:sz w:val="24"/>
        </w:rPr>
        <w:t> </w:t>
      </w:r>
      <w:r>
        <w:rPr>
          <w:sz w:val="24"/>
        </w:rPr>
        <w:t>Kementerian Dalam Negeri terkait potensi kehilangan dari DBH migas dan minerba yang cukup signifikan mengganggu pembangunan di wilayah Kabupaten Kutai Kartanegara. Dengan perhatian dari Pemerintah</w:t>
      </w:r>
      <w:r>
        <w:rPr>
          <w:spacing w:val="-17"/>
          <w:sz w:val="24"/>
        </w:rPr>
        <w:t> </w:t>
      </w:r>
      <w:r>
        <w:rPr>
          <w:sz w:val="24"/>
        </w:rPr>
        <w:t>Pusat</w:t>
      </w:r>
      <w:r>
        <w:rPr>
          <w:spacing w:val="-13"/>
          <w:sz w:val="24"/>
        </w:rPr>
        <w:t> </w:t>
      </w:r>
      <w:r>
        <w:rPr>
          <w:sz w:val="24"/>
        </w:rPr>
        <w:t>diharapkan</w:t>
      </w:r>
      <w:r>
        <w:rPr>
          <w:spacing w:val="-13"/>
          <w:sz w:val="24"/>
        </w:rPr>
        <w:t> </w:t>
      </w:r>
      <w:r>
        <w:rPr>
          <w:sz w:val="24"/>
        </w:rPr>
        <w:t>ada</w:t>
      </w:r>
      <w:r>
        <w:rPr>
          <w:spacing w:val="-17"/>
          <w:sz w:val="24"/>
        </w:rPr>
        <w:t> </w:t>
      </w:r>
      <w:r>
        <w:rPr>
          <w:sz w:val="24"/>
        </w:rPr>
        <w:t>penyesuaian</w:t>
      </w:r>
      <w:r>
        <w:rPr>
          <w:spacing w:val="-12"/>
          <w:sz w:val="24"/>
        </w:rPr>
        <w:t> </w:t>
      </w:r>
      <w:r>
        <w:rPr>
          <w:sz w:val="24"/>
        </w:rPr>
        <w:t>terhadap</w:t>
      </w:r>
      <w:r>
        <w:rPr>
          <w:spacing w:val="-17"/>
          <w:sz w:val="24"/>
        </w:rPr>
        <w:t> </w:t>
      </w:r>
      <w:r>
        <w:rPr>
          <w:sz w:val="24"/>
        </w:rPr>
        <w:t>besaran DAU yang diterima. Dalam jangka menengah ini berbagai kebijakan yang mendorong kesiapan Kabupaten Kutai Kartanegara menghadapi perkembangan IKN sudah dapat disusun</w:t>
      </w:r>
      <w:r>
        <w:rPr>
          <w:spacing w:val="40"/>
          <w:sz w:val="24"/>
        </w:rPr>
        <w:t> </w:t>
      </w:r>
      <w:r>
        <w:rPr>
          <w:sz w:val="24"/>
        </w:rPr>
        <w:t>dan</w:t>
      </w:r>
      <w:r>
        <w:rPr>
          <w:spacing w:val="40"/>
          <w:sz w:val="24"/>
        </w:rPr>
        <w:t> </w:t>
      </w:r>
      <w:r>
        <w:rPr>
          <w:sz w:val="24"/>
        </w:rPr>
        <w:t>diterapkan.</w:t>
      </w:r>
      <w:r>
        <w:rPr>
          <w:spacing w:val="40"/>
          <w:sz w:val="24"/>
        </w:rPr>
        <w:t> </w:t>
      </w:r>
      <w:r>
        <w:rPr>
          <w:sz w:val="24"/>
        </w:rPr>
        <w:t>Misalnya</w:t>
      </w:r>
      <w:r>
        <w:rPr>
          <w:spacing w:val="40"/>
          <w:sz w:val="24"/>
        </w:rPr>
        <w:t> </w:t>
      </w:r>
      <w:r>
        <w:rPr>
          <w:sz w:val="24"/>
        </w:rPr>
        <w:t>mengusulkan</w:t>
      </w:r>
      <w:r>
        <w:rPr>
          <w:spacing w:val="40"/>
          <w:sz w:val="24"/>
        </w:rPr>
        <w:t> </w:t>
      </w:r>
      <w:r>
        <w:rPr>
          <w:sz w:val="24"/>
        </w:rPr>
        <w:t>kerjasama</w:t>
      </w:r>
    </w:p>
    <w:p>
      <w:pPr>
        <w:pStyle w:val="ListParagraph"/>
        <w:spacing w:after="0" w:line="360" w:lineRule="auto"/>
        <w:jc w:val="both"/>
        <w:rPr>
          <w:sz w:val="24"/>
        </w:rPr>
        <w:sectPr>
          <w:pgSz w:w="11910" w:h="16840"/>
          <w:pgMar w:header="0" w:footer="1186" w:top="1580" w:bottom="1380" w:left="1700" w:right="992"/>
        </w:sectPr>
      </w:pPr>
    </w:p>
    <w:p>
      <w:pPr>
        <w:pStyle w:val="BodyText"/>
        <w:spacing w:line="360" w:lineRule="auto" w:before="82"/>
        <w:ind w:left="1714" w:right="712"/>
      </w:pPr>
      <w:r>
        <w:rPr/>
        <w:t>pengelolaan bagi hasil antara Otorita Ibu Kota Nusantara, Pertamina, dan Pemerintah Kabupaten Kutai Kertanegara;</w:t>
      </w:r>
    </w:p>
    <w:p>
      <w:pPr>
        <w:pStyle w:val="ListParagraph"/>
        <w:numPr>
          <w:ilvl w:val="2"/>
          <w:numId w:val="36"/>
        </w:numPr>
        <w:tabs>
          <w:tab w:pos="1712" w:val="left" w:leader="none"/>
          <w:tab w:pos="1714" w:val="left" w:leader="none"/>
        </w:tabs>
        <w:spacing w:line="360" w:lineRule="auto" w:before="3" w:after="0"/>
        <w:ind w:left="1714" w:right="706" w:hanging="361"/>
        <w:jc w:val="both"/>
        <w:rPr>
          <w:sz w:val="24"/>
        </w:rPr>
      </w:pPr>
      <w:r>
        <w:rPr>
          <w:sz w:val="24"/>
        </w:rPr>
        <w:t>Dalam jangka panjang (tahun 2024 dan seterusnya), kehadiran IKN perlu dijadikan sebagai akselerasi transformasi perekonomian</w:t>
      </w:r>
      <w:r>
        <w:rPr>
          <w:spacing w:val="-6"/>
          <w:sz w:val="24"/>
        </w:rPr>
        <w:t> </w:t>
      </w:r>
      <w:r>
        <w:rPr>
          <w:sz w:val="24"/>
        </w:rPr>
        <w:t>Kabupaten</w:t>
      </w:r>
      <w:r>
        <w:rPr>
          <w:spacing w:val="-6"/>
          <w:sz w:val="24"/>
        </w:rPr>
        <w:t> </w:t>
      </w:r>
      <w:r>
        <w:rPr>
          <w:sz w:val="24"/>
        </w:rPr>
        <w:t>Kutai</w:t>
      </w:r>
      <w:r>
        <w:rPr>
          <w:spacing w:val="-5"/>
          <w:sz w:val="24"/>
        </w:rPr>
        <w:t> </w:t>
      </w:r>
      <w:r>
        <w:rPr>
          <w:sz w:val="24"/>
        </w:rPr>
        <w:t>Kartanegara. Beberapa</w:t>
      </w:r>
      <w:r>
        <w:rPr>
          <w:spacing w:val="-7"/>
          <w:sz w:val="24"/>
        </w:rPr>
        <w:t> </w:t>
      </w:r>
      <w:r>
        <w:rPr>
          <w:sz w:val="24"/>
        </w:rPr>
        <w:t>kegiatan yang dapat dilakukan:</w:t>
      </w:r>
    </w:p>
    <w:p>
      <w:pPr>
        <w:pStyle w:val="ListParagraph"/>
        <w:numPr>
          <w:ilvl w:val="3"/>
          <w:numId w:val="36"/>
        </w:numPr>
        <w:tabs>
          <w:tab w:pos="2072" w:val="left" w:leader="none"/>
          <w:tab w:pos="2074" w:val="left" w:leader="none"/>
        </w:tabs>
        <w:spacing w:line="360" w:lineRule="auto" w:before="0" w:after="0"/>
        <w:ind w:left="2074" w:right="705" w:hanging="360"/>
        <w:jc w:val="both"/>
        <w:rPr>
          <w:sz w:val="24"/>
        </w:rPr>
      </w:pPr>
      <w:r>
        <w:rPr>
          <w:sz w:val="24"/>
        </w:rPr>
        <w:t>Pengelolaan kerjasama pembangunan jalan tol baru untuk membuka akses jalan dan jembatan yang menghubungkan Tenggarong Ke ibu Kota Nusantara guna menumbuhkan pusat-pusat ekonomi yang selama ini terisolir.</w:t>
      </w:r>
    </w:p>
    <w:p>
      <w:pPr>
        <w:pStyle w:val="ListParagraph"/>
        <w:numPr>
          <w:ilvl w:val="3"/>
          <w:numId w:val="36"/>
        </w:numPr>
        <w:tabs>
          <w:tab w:pos="2074" w:val="left" w:leader="none"/>
        </w:tabs>
        <w:spacing w:line="360" w:lineRule="auto" w:before="1" w:after="0"/>
        <w:ind w:left="2074" w:right="701" w:hanging="360"/>
        <w:jc w:val="both"/>
        <w:rPr>
          <w:sz w:val="24"/>
        </w:rPr>
      </w:pPr>
      <w:r>
        <w:rPr>
          <w:sz w:val="24"/>
        </w:rPr>
        <w:t>Membangun</w:t>
      </w:r>
      <w:r>
        <w:rPr>
          <w:spacing w:val="-7"/>
          <w:sz w:val="24"/>
        </w:rPr>
        <w:t> </w:t>
      </w:r>
      <w:r>
        <w:rPr>
          <w:sz w:val="24"/>
        </w:rPr>
        <w:t>kota</w:t>
      </w:r>
      <w:r>
        <w:rPr>
          <w:spacing w:val="-7"/>
          <w:sz w:val="24"/>
        </w:rPr>
        <w:t> </w:t>
      </w:r>
      <w:r>
        <w:rPr>
          <w:sz w:val="24"/>
        </w:rPr>
        <w:t>satelit</w:t>
      </w:r>
      <w:r>
        <w:rPr>
          <w:spacing w:val="-5"/>
          <w:sz w:val="24"/>
        </w:rPr>
        <w:t> </w:t>
      </w:r>
      <w:r>
        <w:rPr>
          <w:sz w:val="24"/>
        </w:rPr>
        <w:t>atau</w:t>
      </w:r>
      <w:r>
        <w:rPr>
          <w:spacing w:val="-7"/>
          <w:sz w:val="24"/>
        </w:rPr>
        <w:t> </w:t>
      </w:r>
      <w:r>
        <w:rPr>
          <w:sz w:val="24"/>
        </w:rPr>
        <w:t>kota</w:t>
      </w:r>
      <w:r>
        <w:rPr>
          <w:spacing w:val="-7"/>
          <w:sz w:val="24"/>
        </w:rPr>
        <w:t> </w:t>
      </w:r>
      <w:r>
        <w:rPr>
          <w:sz w:val="24"/>
        </w:rPr>
        <w:t>baru untuk meningkatkan pajak</w:t>
      </w:r>
      <w:r>
        <w:rPr>
          <w:spacing w:val="-17"/>
          <w:sz w:val="24"/>
        </w:rPr>
        <w:t> </w:t>
      </w:r>
      <w:r>
        <w:rPr>
          <w:sz w:val="24"/>
        </w:rPr>
        <w:t>dan</w:t>
      </w:r>
      <w:r>
        <w:rPr>
          <w:spacing w:val="-16"/>
          <w:sz w:val="24"/>
        </w:rPr>
        <w:t> </w:t>
      </w:r>
      <w:r>
        <w:rPr>
          <w:sz w:val="24"/>
        </w:rPr>
        <w:t>retribusi</w:t>
      </w:r>
      <w:r>
        <w:rPr>
          <w:spacing w:val="-17"/>
          <w:sz w:val="24"/>
        </w:rPr>
        <w:t> </w:t>
      </w:r>
      <w:r>
        <w:rPr>
          <w:sz w:val="24"/>
        </w:rPr>
        <w:t>daerah</w:t>
      </w:r>
      <w:r>
        <w:rPr>
          <w:spacing w:val="-16"/>
          <w:sz w:val="24"/>
        </w:rPr>
        <w:t> </w:t>
      </w:r>
      <w:r>
        <w:rPr>
          <w:sz w:val="24"/>
        </w:rPr>
        <w:t>dengan</w:t>
      </w:r>
      <w:r>
        <w:rPr>
          <w:spacing w:val="-17"/>
          <w:sz w:val="24"/>
        </w:rPr>
        <w:t> </w:t>
      </w:r>
      <w:r>
        <w:rPr>
          <w:sz w:val="24"/>
        </w:rPr>
        <w:t>bantuan</w:t>
      </w:r>
      <w:r>
        <w:rPr>
          <w:spacing w:val="-16"/>
          <w:sz w:val="24"/>
        </w:rPr>
        <w:t> </w:t>
      </w:r>
      <w:r>
        <w:rPr>
          <w:sz w:val="24"/>
        </w:rPr>
        <w:t>Otorita</w:t>
      </w:r>
      <w:r>
        <w:rPr>
          <w:spacing w:val="-17"/>
          <w:sz w:val="24"/>
        </w:rPr>
        <w:t> </w:t>
      </w:r>
      <w:r>
        <w:rPr>
          <w:sz w:val="24"/>
        </w:rPr>
        <w:t>IKN</w:t>
      </w:r>
      <w:r>
        <w:rPr>
          <w:spacing w:val="-16"/>
          <w:sz w:val="24"/>
        </w:rPr>
        <w:t> </w:t>
      </w:r>
      <w:r>
        <w:rPr>
          <w:sz w:val="24"/>
        </w:rPr>
        <w:t>dalam menggandeng investor;</w:t>
      </w:r>
    </w:p>
    <w:p>
      <w:pPr>
        <w:pStyle w:val="ListParagraph"/>
        <w:numPr>
          <w:ilvl w:val="3"/>
          <w:numId w:val="36"/>
        </w:numPr>
        <w:tabs>
          <w:tab w:pos="2074" w:val="left" w:leader="none"/>
        </w:tabs>
        <w:spacing w:line="360" w:lineRule="auto" w:before="0" w:after="0"/>
        <w:ind w:left="2074" w:right="700" w:hanging="360"/>
        <w:jc w:val="both"/>
        <w:rPr>
          <w:sz w:val="24"/>
        </w:rPr>
      </w:pPr>
      <w:r>
        <w:rPr>
          <w:sz w:val="24"/>
        </w:rPr>
        <w:t>Membangun pusat-pusat kawasan pariwisata yang berskala nasional atau internasional seperti Taman Mini Indonesia Indah;</w:t>
      </w:r>
      <w:r>
        <w:rPr>
          <w:spacing w:val="-17"/>
          <w:sz w:val="24"/>
        </w:rPr>
        <w:t> </w:t>
      </w:r>
      <w:r>
        <w:rPr>
          <w:sz w:val="24"/>
        </w:rPr>
        <w:t>Taman</w:t>
      </w:r>
      <w:r>
        <w:rPr>
          <w:spacing w:val="-16"/>
          <w:sz w:val="24"/>
        </w:rPr>
        <w:t> </w:t>
      </w:r>
      <w:r>
        <w:rPr>
          <w:sz w:val="24"/>
        </w:rPr>
        <w:t>Impian</w:t>
      </w:r>
      <w:r>
        <w:rPr>
          <w:spacing w:val="-17"/>
          <w:sz w:val="24"/>
        </w:rPr>
        <w:t> </w:t>
      </w:r>
      <w:r>
        <w:rPr>
          <w:sz w:val="24"/>
        </w:rPr>
        <w:t>Jaya</w:t>
      </w:r>
      <w:r>
        <w:rPr>
          <w:spacing w:val="-16"/>
          <w:sz w:val="24"/>
        </w:rPr>
        <w:t> </w:t>
      </w:r>
      <w:r>
        <w:rPr>
          <w:sz w:val="24"/>
        </w:rPr>
        <w:t>Ancol,</w:t>
      </w:r>
      <w:r>
        <w:rPr>
          <w:spacing w:val="-17"/>
          <w:sz w:val="24"/>
        </w:rPr>
        <w:t> </w:t>
      </w:r>
      <w:r>
        <w:rPr>
          <w:sz w:val="24"/>
        </w:rPr>
        <w:t>Taman</w:t>
      </w:r>
      <w:r>
        <w:rPr>
          <w:spacing w:val="-16"/>
          <w:sz w:val="24"/>
        </w:rPr>
        <w:t> </w:t>
      </w:r>
      <w:r>
        <w:rPr>
          <w:sz w:val="24"/>
        </w:rPr>
        <w:t>Wisata</w:t>
      </w:r>
      <w:r>
        <w:rPr>
          <w:spacing w:val="-17"/>
          <w:sz w:val="24"/>
        </w:rPr>
        <w:t> </w:t>
      </w:r>
      <w:r>
        <w:rPr>
          <w:sz w:val="24"/>
        </w:rPr>
        <w:t>Safari</w:t>
      </w:r>
      <w:r>
        <w:rPr>
          <w:spacing w:val="-16"/>
          <w:sz w:val="24"/>
        </w:rPr>
        <w:t> </w:t>
      </w:r>
      <w:r>
        <w:rPr>
          <w:sz w:val="24"/>
        </w:rPr>
        <w:t>dan</w:t>
      </w:r>
      <w:r>
        <w:rPr>
          <w:spacing w:val="-16"/>
          <w:sz w:val="24"/>
        </w:rPr>
        <w:t> </w:t>
      </w:r>
      <w:r>
        <w:rPr>
          <w:sz w:val="24"/>
        </w:rPr>
        <w:t>lain sebagaimya yang kesemuanya itu untuk memperoleh pajak dan retribusi daerah sebagai pengganti penerimaan yang </w:t>
      </w:r>
      <w:r>
        <w:rPr>
          <w:spacing w:val="-2"/>
          <w:sz w:val="24"/>
        </w:rPr>
        <w:t>hilang;</w:t>
      </w:r>
    </w:p>
    <w:p>
      <w:pPr>
        <w:pStyle w:val="ListParagraph"/>
        <w:numPr>
          <w:ilvl w:val="2"/>
          <w:numId w:val="36"/>
        </w:numPr>
        <w:tabs>
          <w:tab w:pos="1712" w:val="left" w:leader="none"/>
          <w:tab w:pos="1714" w:val="left" w:leader="none"/>
        </w:tabs>
        <w:spacing w:line="360" w:lineRule="auto" w:before="1" w:after="0"/>
        <w:ind w:left="1714" w:right="700" w:hanging="361"/>
        <w:jc w:val="both"/>
        <w:rPr>
          <w:sz w:val="24"/>
        </w:rPr>
      </w:pPr>
      <w:r>
        <w:rPr>
          <w:sz w:val="24"/>
        </w:rPr>
        <w:t>Untuk mendapatkan perhatian dari Pemerintah Pusat, Kementerian Dalam Negeri dan Pemerintah Provinsi Kalimantan Timur dapat menjadi fasilitator bagi</w:t>
      </w:r>
      <w:r>
        <w:rPr>
          <w:spacing w:val="-1"/>
          <w:sz w:val="24"/>
        </w:rPr>
        <w:t> </w:t>
      </w:r>
      <w:r>
        <w:rPr>
          <w:sz w:val="24"/>
        </w:rPr>
        <w:t>terbukanya</w:t>
      </w:r>
      <w:r>
        <w:rPr>
          <w:spacing w:val="-2"/>
          <w:sz w:val="24"/>
        </w:rPr>
        <w:t> </w:t>
      </w:r>
      <w:r>
        <w:rPr>
          <w:sz w:val="24"/>
        </w:rPr>
        <w:t>komunikasi dan koordinasi yang intensif antara Otorita Ibu Kota Nusantara dengan Kabupaten Kutai Kertanegara sebagai daerah mitra</w:t>
      </w:r>
    </w:p>
    <w:p>
      <w:pPr>
        <w:pStyle w:val="ListParagraph"/>
        <w:numPr>
          <w:ilvl w:val="2"/>
          <w:numId w:val="36"/>
        </w:numPr>
        <w:tabs>
          <w:tab w:pos="1712" w:val="left" w:leader="none"/>
          <w:tab w:pos="1714" w:val="left" w:leader="none"/>
        </w:tabs>
        <w:spacing w:line="360" w:lineRule="auto" w:before="2" w:after="0"/>
        <w:ind w:left="1714" w:right="699" w:hanging="361"/>
        <w:jc w:val="both"/>
        <w:rPr>
          <w:sz w:val="24"/>
        </w:rPr>
      </w:pPr>
      <w:r>
        <w:rPr>
          <w:sz w:val="24"/>
        </w:rPr>
        <w:t>Untuk meningkatkan PDRD salah satunya dapat dilakukan dengan dukungan </w:t>
      </w:r>
      <w:r>
        <w:rPr>
          <w:i/>
          <w:sz w:val="24"/>
        </w:rPr>
        <w:t>smart </w:t>
      </w:r>
      <w:r>
        <w:rPr>
          <w:sz w:val="24"/>
        </w:rPr>
        <w:t>administrasi melalui digitalisasi pembayaran PDRD dan penyusunan peraturan daerah yang berpihak kepada dunia usaha.</w:t>
      </w:r>
    </w:p>
    <w:p>
      <w:pPr>
        <w:pStyle w:val="ListParagraph"/>
        <w:spacing w:after="0" w:line="360" w:lineRule="auto"/>
        <w:jc w:val="both"/>
        <w:rPr>
          <w:sz w:val="24"/>
        </w:rPr>
        <w:sectPr>
          <w:pgSz w:w="11910" w:h="16840"/>
          <w:pgMar w:header="0" w:footer="1186" w:top="1580" w:bottom="1380" w:left="1700" w:right="992"/>
        </w:sectPr>
      </w:pPr>
    </w:p>
    <w:p>
      <w:pPr>
        <w:pStyle w:val="Heading1"/>
        <w:rPr>
          <w:rFonts w:ascii="Segoe UI"/>
        </w:rPr>
      </w:pPr>
      <w:bookmarkStart w:name="_bookmark81" w:id="82"/>
      <w:bookmarkEnd w:id="82"/>
      <w:r>
        <w:rPr>
          <w:b w:val="0"/>
        </w:rPr>
      </w:r>
      <w:r>
        <w:rPr>
          <w:rFonts w:ascii="Segoe UI"/>
          <w:spacing w:val="-2"/>
        </w:rPr>
        <w:t>DAFTAR</w:t>
      </w:r>
      <w:r>
        <w:rPr>
          <w:rFonts w:ascii="Segoe UI"/>
          <w:spacing w:val="-8"/>
        </w:rPr>
        <w:t> </w:t>
      </w:r>
      <w:r>
        <w:rPr>
          <w:rFonts w:ascii="Segoe UI"/>
          <w:spacing w:val="-2"/>
        </w:rPr>
        <w:t>PUSTAKA</w:t>
      </w:r>
    </w:p>
    <w:p>
      <w:pPr>
        <w:pStyle w:val="BodyText"/>
        <w:spacing w:before="302"/>
        <w:jc w:val="left"/>
        <w:rPr>
          <w:b/>
          <w:sz w:val="28"/>
        </w:rPr>
      </w:pPr>
    </w:p>
    <w:p>
      <w:pPr>
        <w:pStyle w:val="BodyText"/>
        <w:ind w:left="1137" w:right="1273" w:hanging="567"/>
      </w:pPr>
      <w:r>
        <w:rPr/>
        <w:t>Aditya, Zaka Firma., Fuadi, Abdul Basid. (2021). Konseptualisasi Omnibus Law dalam Pemindahan Ibukota Negara. Jurnal Ilmiah Kebijakan Hukum. Vol. 15, No. 1. DOI: </w:t>
      </w:r>
      <w:hyperlink r:id="rId31">
        <w:r>
          <w:rPr>
            <w:spacing w:val="-2"/>
          </w:rPr>
          <w:t>http://dx.doi.org/10.30641/kebijakan.2021.V15.149-164</w:t>
        </w:r>
      </w:hyperlink>
    </w:p>
    <w:p>
      <w:pPr>
        <w:pStyle w:val="BodyText"/>
        <w:spacing w:before="240"/>
        <w:ind w:left="1421" w:right="1263" w:hanging="855"/>
      </w:pPr>
      <w:r>
        <w:rPr/>
        <w:t>Aziz,Nyimas Latifah Letty. (2019). Relokasi Ibu Kota Negara: Lesson Learned dari Negara Lain. Jurnal Kajian Wilayah 10 (2019) 37- 64, https:/./doi.org/10.14203/jkw.v10i2.827</w:t>
      </w:r>
    </w:p>
    <w:p>
      <w:pPr>
        <w:pStyle w:val="BodyText"/>
        <w:tabs>
          <w:tab w:pos="6996" w:val="left" w:leader="none"/>
        </w:tabs>
        <w:spacing w:before="238"/>
        <w:ind w:left="1421" w:right="1262" w:hanging="855"/>
      </w:pPr>
      <w:r>
        <w:rPr/>
        <w:t>Ewane, E. B., Deh-Nji, A., Mfonkwet, N. Y., &amp; Nkembi, L. (2023). Agricultural</w:t>
      </w:r>
      <w:r>
        <w:rPr>
          <w:spacing w:val="-5"/>
        </w:rPr>
        <w:t> </w:t>
      </w:r>
      <w:r>
        <w:rPr/>
        <w:t>expansion</w:t>
      </w:r>
      <w:r>
        <w:rPr>
          <w:spacing w:val="-6"/>
        </w:rPr>
        <w:t> </w:t>
      </w:r>
      <w:r>
        <w:rPr/>
        <w:t>and</w:t>
      </w:r>
      <w:r>
        <w:rPr>
          <w:spacing w:val="-7"/>
        </w:rPr>
        <w:t> </w:t>
      </w:r>
      <w:r>
        <w:rPr/>
        <w:t>land</w:t>
      </w:r>
      <w:r>
        <w:rPr>
          <w:spacing w:val="-7"/>
        </w:rPr>
        <w:t> </w:t>
      </w:r>
      <w:r>
        <w:rPr/>
        <w:t>use</w:t>
      </w:r>
      <w:r>
        <w:rPr>
          <w:spacing w:val="-5"/>
        </w:rPr>
        <w:t> </w:t>
      </w:r>
      <w:r>
        <w:rPr/>
        <w:t>land</w:t>
      </w:r>
      <w:r>
        <w:rPr>
          <w:spacing w:val="-7"/>
        </w:rPr>
        <w:t> </w:t>
      </w:r>
      <w:r>
        <w:rPr/>
        <w:t>cover</w:t>
      </w:r>
      <w:r>
        <w:rPr>
          <w:spacing w:val="-7"/>
        </w:rPr>
        <w:t> </w:t>
      </w:r>
      <w:r>
        <w:rPr/>
        <w:t>changes</w:t>
      </w:r>
      <w:r>
        <w:rPr>
          <w:spacing w:val="-5"/>
        </w:rPr>
        <w:t> </w:t>
      </w:r>
      <w:r>
        <w:rPr/>
        <w:t>in</w:t>
      </w:r>
      <w:r>
        <w:rPr>
          <w:spacing w:val="-7"/>
        </w:rPr>
        <w:t> </w:t>
      </w:r>
      <w:r>
        <w:rPr/>
        <w:t>the Mount Bamboutos landscape, Western Cameroon: implications for local land use planning and sustainable development. </w:t>
      </w:r>
      <w:r>
        <w:rPr>
          <w:i/>
        </w:rPr>
        <w:t>International Journal of Environmental Studies</w:t>
      </w:r>
      <w:r>
        <w:rPr/>
        <w:t>, </w:t>
      </w:r>
      <w:r>
        <w:rPr>
          <w:i/>
          <w:spacing w:val="-2"/>
        </w:rPr>
        <w:t>80</w:t>
      </w:r>
      <w:r>
        <w:rPr>
          <w:spacing w:val="-2"/>
        </w:rPr>
        <w:t>(1),</w:t>
      </w:r>
      <w:r>
        <w:rPr/>
        <w:tab/>
      </w:r>
      <w:r>
        <w:rPr>
          <w:spacing w:val="-2"/>
        </w:rPr>
        <w:t>186–206.</w:t>
      </w:r>
    </w:p>
    <w:p>
      <w:pPr>
        <w:pStyle w:val="BodyText"/>
        <w:ind w:left="1421"/>
        <w:jc w:val="left"/>
      </w:pPr>
      <w:r>
        <w:rPr>
          <w:spacing w:val="-2"/>
        </w:rPr>
        <w:t>https://doi.org/10.1080/00207233.2021.2006911</w:t>
      </w:r>
    </w:p>
    <w:p>
      <w:pPr>
        <w:pStyle w:val="BodyText"/>
        <w:spacing w:line="237" w:lineRule="auto" w:before="246"/>
        <w:ind w:left="1421" w:right="1275" w:hanging="855"/>
      </w:pPr>
      <w:r>
        <w:rPr/>
        <w:t>Gering, Jhon., Thacker, Strom C. (2008). A Centripetal Theory of Democratic Governance. Cambridge University Press.</w:t>
      </w:r>
    </w:p>
    <w:p>
      <w:pPr>
        <w:pStyle w:val="BodyText"/>
        <w:spacing w:before="244"/>
        <w:ind w:left="1421" w:right="1267" w:hanging="855"/>
      </w:pPr>
      <w:r>
        <w:rPr/>
        <w:t>Gering,</w:t>
      </w:r>
      <w:r>
        <w:rPr>
          <w:spacing w:val="-9"/>
        </w:rPr>
        <w:t> </w:t>
      </w:r>
      <w:r>
        <w:rPr/>
        <w:t>Jhon,</w:t>
      </w:r>
      <w:r>
        <w:rPr>
          <w:spacing w:val="-9"/>
        </w:rPr>
        <w:t> </w:t>
      </w:r>
      <w:r>
        <w:rPr/>
        <w:t>Storm</w:t>
      </w:r>
      <w:r>
        <w:rPr>
          <w:spacing w:val="-5"/>
        </w:rPr>
        <w:t> </w:t>
      </w:r>
      <w:r>
        <w:rPr/>
        <w:t>C.</w:t>
      </w:r>
      <w:r>
        <w:rPr>
          <w:spacing w:val="-5"/>
        </w:rPr>
        <w:t> </w:t>
      </w:r>
      <w:r>
        <w:rPr/>
        <w:t>(2004).</w:t>
      </w:r>
      <w:r>
        <w:rPr>
          <w:spacing w:val="-9"/>
        </w:rPr>
        <w:t> </w:t>
      </w:r>
      <w:r>
        <w:rPr/>
        <w:t>Thacker,</w:t>
      </w:r>
      <w:r>
        <w:rPr>
          <w:spacing w:val="-5"/>
        </w:rPr>
        <w:t> </w:t>
      </w:r>
      <w:r>
        <w:rPr/>
        <w:t>and</w:t>
      </w:r>
      <w:r>
        <w:rPr>
          <w:spacing w:val="-12"/>
        </w:rPr>
        <w:t> </w:t>
      </w:r>
      <w:r>
        <w:rPr/>
        <w:t>Carola</w:t>
      </w:r>
      <w:r>
        <w:rPr>
          <w:spacing w:val="-8"/>
        </w:rPr>
        <w:t> </w:t>
      </w:r>
      <w:r>
        <w:rPr/>
        <w:t>Moreno.</w:t>
      </w:r>
      <w:r>
        <w:rPr>
          <w:spacing w:val="-9"/>
        </w:rPr>
        <w:t> </w:t>
      </w:r>
      <w:r>
        <w:rPr/>
        <w:t>Normative Models of Democratic Governance: Decentralism, Centralism, and Centripetalism.</w:t>
      </w:r>
    </w:p>
    <w:p>
      <w:pPr>
        <w:pStyle w:val="BodyText"/>
        <w:spacing w:before="237"/>
        <w:ind w:left="1421" w:right="1267" w:hanging="855"/>
      </w:pPr>
      <w:r>
        <w:rPr/>
        <w:t>Hadi,</w:t>
      </w:r>
      <w:r>
        <w:rPr>
          <w:spacing w:val="-13"/>
        </w:rPr>
        <w:t> </w:t>
      </w:r>
      <w:r>
        <w:rPr/>
        <w:t>Fikri.,</w:t>
      </w:r>
      <w:r>
        <w:rPr>
          <w:spacing w:val="-13"/>
        </w:rPr>
        <w:t> </w:t>
      </w:r>
      <w:r>
        <w:rPr/>
        <w:t>Ristawati,</w:t>
      </w:r>
      <w:r>
        <w:rPr>
          <w:spacing w:val="-12"/>
        </w:rPr>
        <w:t> </w:t>
      </w:r>
      <w:r>
        <w:rPr/>
        <w:t>Rosa.</w:t>
      </w:r>
      <w:r>
        <w:rPr>
          <w:spacing w:val="-13"/>
        </w:rPr>
        <w:t> </w:t>
      </w:r>
      <w:r>
        <w:rPr/>
        <w:t>(2020).Pemindahan</w:t>
      </w:r>
      <w:r>
        <w:rPr>
          <w:spacing w:val="-9"/>
        </w:rPr>
        <w:t> </w:t>
      </w:r>
      <w:r>
        <w:rPr/>
        <w:t>Ibu</w:t>
      </w:r>
      <w:r>
        <w:rPr>
          <w:spacing w:val="-15"/>
        </w:rPr>
        <w:t> </w:t>
      </w:r>
      <w:r>
        <w:rPr/>
        <w:t>Kota</w:t>
      </w:r>
      <w:r>
        <w:rPr>
          <w:spacing w:val="-15"/>
        </w:rPr>
        <w:t> </w:t>
      </w:r>
      <w:r>
        <w:rPr/>
        <w:t>Indonesia</w:t>
      </w:r>
      <w:r>
        <w:rPr>
          <w:spacing w:val="-16"/>
        </w:rPr>
        <w:t> </w:t>
      </w:r>
      <w:r>
        <w:rPr/>
        <w:t>dan Kekuasaan Presiden dalam Perspektif Konstitusi. Jurnal Konstitusi, Vol. 17, No. 3, September. DOI: </w:t>
      </w:r>
      <w:r>
        <w:rPr>
          <w:spacing w:val="-2"/>
        </w:rPr>
        <w:t>https://doi.org/10.31078/jk1734</w:t>
      </w:r>
    </w:p>
    <w:p>
      <w:pPr>
        <w:pStyle w:val="BodyText"/>
        <w:spacing w:before="241"/>
        <w:ind w:left="1421" w:right="1269" w:hanging="855"/>
      </w:pPr>
      <w:r>
        <w:rPr/>
        <w:t>Hidayat, Syarif. (2014). Desentralisasi dan Otonomi Daerah di Indonesia: Konsep Dasar, Kebijakan dan Realitas Empiris. Jakarta: LIPI.</w:t>
      </w:r>
    </w:p>
    <w:p>
      <w:pPr>
        <w:pStyle w:val="BodyText"/>
        <w:spacing w:line="318" w:lineRule="exact" w:before="242"/>
        <w:ind w:left="566"/>
        <w:jc w:val="left"/>
      </w:pPr>
      <w:r>
        <w:rPr/>
        <w:t>Hutasoit,</w:t>
      </w:r>
      <w:r>
        <w:rPr>
          <w:spacing w:val="5"/>
        </w:rPr>
        <w:t> </w:t>
      </w:r>
      <w:r>
        <w:rPr/>
        <w:t>Wesley</w:t>
      </w:r>
      <w:r>
        <w:rPr>
          <w:spacing w:val="5"/>
        </w:rPr>
        <w:t> </w:t>
      </w:r>
      <w:r>
        <w:rPr/>
        <w:t>Liano.</w:t>
      </w:r>
      <w:r>
        <w:rPr>
          <w:spacing w:val="7"/>
        </w:rPr>
        <w:t> </w:t>
      </w:r>
      <w:r>
        <w:rPr/>
        <w:t>(2018).</w:t>
      </w:r>
      <w:r>
        <w:rPr>
          <w:spacing w:val="6"/>
        </w:rPr>
        <w:t> </w:t>
      </w:r>
      <w:r>
        <w:rPr/>
        <w:t>Analisa</w:t>
      </w:r>
      <w:r>
        <w:rPr>
          <w:spacing w:val="5"/>
        </w:rPr>
        <w:t> </w:t>
      </w:r>
      <w:r>
        <w:rPr/>
        <w:t>Pemindahan</w:t>
      </w:r>
      <w:r>
        <w:rPr>
          <w:spacing w:val="5"/>
        </w:rPr>
        <w:t> </w:t>
      </w:r>
      <w:r>
        <w:rPr/>
        <w:t>Ibu</w:t>
      </w:r>
      <w:r>
        <w:rPr>
          <w:spacing w:val="5"/>
        </w:rPr>
        <w:t> </w:t>
      </w:r>
      <w:r>
        <w:rPr/>
        <w:t>Kota</w:t>
      </w:r>
      <w:r>
        <w:rPr>
          <w:spacing w:val="5"/>
        </w:rPr>
        <w:t> </w:t>
      </w:r>
      <w:r>
        <w:rPr>
          <w:spacing w:val="-2"/>
        </w:rPr>
        <w:t>Negara.</w:t>
      </w:r>
    </w:p>
    <w:p>
      <w:pPr>
        <w:pStyle w:val="BodyText"/>
        <w:spacing w:line="318" w:lineRule="exact"/>
        <w:ind w:left="1421"/>
        <w:jc w:val="left"/>
      </w:pPr>
      <w:r>
        <w:rPr/>
        <w:t>Jurnal</w:t>
      </w:r>
      <w:r>
        <w:rPr>
          <w:spacing w:val="-8"/>
        </w:rPr>
        <w:t> </w:t>
      </w:r>
      <w:r>
        <w:rPr/>
        <w:t>DEDIKASI,</w:t>
      </w:r>
      <w:r>
        <w:rPr>
          <w:spacing w:val="-6"/>
        </w:rPr>
        <w:t> </w:t>
      </w:r>
      <w:r>
        <w:rPr/>
        <w:t>Vol.</w:t>
      </w:r>
      <w:r>
        <w:rPr>
          <w:spacing w:val="-7"/>
        </w:rPr>
        <w:t> </w:t>
      </w:r>
      <w:r>
        <w:rPr/>
        <w:t>19,</w:t>
      </w:r>
      <w:r>
        <w:rPr>
          <w:spacing w:val="-7"/>
        </w:rPr>
        <w:t> </w:t>
      </w:r>
      <w:r>
        <w:rPr/>
        <w:t>No.</w:t>
      </w:r>
      <w:r>
        <w:rPr>
          <w:spacing w:val="-6"/>
        </w:rPr>
        <w:t> </w:t>
      </w:r>
      <w:r>
        <w:rPr>
          <w:spacing w:val="-5"/>
        </w:rPr>
        <w:t>2.</w:t>
      </w:r>
    </w:p>
    <w:p>
      <w:pPr>
        <w:pStyle w:val="BodyText"/>
        <w:spacing w:line="318" w:lineRule="exact" w:before="243"/>
        <w:ind w:left="566"/>
        <w:jc w:val="left"/>
      </w:pPr>
      <w:r>
        <w:rPr/>
        <w:t>,”Ini</w:t>
      </w:r>
      <w:r>
        <w:rPr>
          <w:spacing w:val="-12"/>
        </w:rPr>
        <w:t> </w:t>
      </w:r>
      <w:r>
        <w:rPr/>
        <w:t>Hasil</w:t>
      </w:r>
      <w:r>
        <w:rPr>
          <w:spacing w:val="-12"/>
        </w:rPr>
        <w:t> </w:t>
      </w:r>
      <w:r>
        <w:rPr/>
        <w:t>Penetapan</w:t>
      </w:r>
      <w:r>
        <w:rPr>
          <w:spacing w:val="42"/>
        </w:rPr>
        <w:t> </w:t>
      </w:r>
      <w:r>
        <w:rPr/>
        <w:t>Dapil</w:t>
      </w:r>
      <w:r>
        <w:rPr>
          <w:spacing w:val="-12"/>
        </w:rPr>
        <w:t> </w:t>
      </w:r>
      <w:r>
        <w:rPr/>
        <w:t>dan</w:t>
      </w:r>
      <w:r>
        <w:rPr>
          <w:spacing w:val="-13"/>
        </w:rPr>
        <w:t> </w:t>
      </w:r>
      <w:r>
        <w:rPr/>
        <w:t>Alokasi</w:t>
      </w:r>
      <w:r>
        <w:rPr>
          <w:spacing w:val="-12"/>
        </w:rPr>
        <w:t> </w:t>
      </w:r>
      <w:r>
        <w:rPr/>
        <w:t>Kursi</w:t>
      </w:r>
      <w:r>
        <w:rPr>
          <w:spacing w:val="-7"/>
        </w:rPr>
        <w:t> </w:t>
      </w:r>
      <w:r>
        <w:rPr/>
        <w:t>DPRD</w:t>
      </w:r>
      <w:r>
        <w:rPr>
          <w:spacing w:val="-12"/>
        </w:rPr>
        <w:t> </w:t>
      </w:r>
      <w:r>
        <w:rPr/>
        <w:t>Kukar</w:t>
      </w:r>
      <w:r>
        <w:rPr>
          <w:spacing w:val="-12"/>
        </w:rPr>
        <w:t> </w:t>
      </w:r>
      <w:r>
        <w:rPr/>
        <w:t>pada</w:t>
      </w:r>
      <w:r>
        <w:rPr>
          <w:spacing w:val="-9"/>
        </w:rPr>
        <w:t> </w:t>
      </w:r>
      <w:r>
        <w:rPr>
          <w:spacing w:val="-2"/>
        </w:rPr>
        <w:t>Pemilu</w:t>
      </w:r>
    </w:p>
    <w:p>
      <w:pPr>
        <w:spacing w:line="318" w:lineRule="exact" w:before="0"/>
        <w:ind w:left="1421" w:right="0" w:firstLine="0"/>
        <w:jc w:val="left"/>
        <w:rPr>
          <w:sz w:val="24"/>
        </w:rPr>
      </w:pPr>
      <w:r>
        <w:rPr>
          <w:sz w:val="24"/>
        </w:rPr>
        <w:t>2024,”</w:t>
      </w:r>
      <w:r>
        <w:rPr>
          <w:i/>
          <w:sz w:val="24"/>
        </w:rPr>
        <w:t>Headlinekaltim.com,</w:t>
      </w:r>
      <w:r>
        <w:rPr>
          <w:i/>
          <w:spacing w:val="-9"/>
          <w:sz w:val="24"/>
        </w:rPr>
        <w:t> </w:t>
      </w:r>
      <w:r>
        <w:rPr>
          <w:sz w:val="24"/>
        </w:rPr>
        <w:t>8</w:t>
      </w:r>
      <w:r>
        <w:rPr>
          <w:spacing w:val="-11"/>
          <w:sz w:val="24"/>
        </w:rPr>
        <w:t> </w:t>
      </w:r>
      <w:r>
        <w:rPr>
          <w:sz w:val="24"/>
        </w:rPr>
        <w:t>Pebruari</w:t>
      </w:r>
      <w:r>
        <w:rPr>
          <w:spacing w:val="-10"/>
          <w:sz w:val="24"/>
        </w:rPr>
        <w:t> </w:t>
      </w:r>
      <w:r>
        <w:rPr>
          <w:spacing w:val="-4"/>
          <w:sz w:val="24"/>
        </w:rPr>
        <w:t>2023</w:t>
      </w:r>
    </w:p>
    <w:p>
      <w:pPr>
        <w:pStyle w:val="BodyText"/>
        <w:spacing w:before="242"/>
        <w:ind w:left="1401" w:right="1272" w:hanging="836"/>
      </w:pPr>
      <w:r>
        <w:rPr/>
        <w:t>Katharina, Riris &amp; Nainggolan, Poltak Partogi. (2022). DPR dan Defisit Demokrasi. Jakarta: Yayasan Obor Indonesia.</w:t>
      </w:r>
    </w:p>
    <w:p>
      <w:pPr>
        <w:pStyle w:val="BodyText"/>
        <w:spacing w:after="0"/>
        <w:sectPr>
          <w:pgSz w:w="11910" w:h="16840"/>
          <w:pgMar w:header="0" w:footer="1186" w:top="1580" w:bottom="1380" w:left="1700" w:right="992"/>
        </w:sectPr>
      </w:pPr>
    </w:p>
    <w:p>
      <w:pPr>
        <w:pStyle w:val="BodyText"/>
        <w:spacing w:before="82"/>
        <w:ind w:left="566"/>
        <w:jc w:val="left"/>
      </w:pPr>
      <w:r>
        <w:rPr/>
        <w:t>Katharina,</w:t>
      </w:r>
      <w:r>
        <w:rPr>
          <w:spacing w:val="20"/>
        </w:rPr>
        <w:t> </w:t>
      </w:r>
      <w:r>
        <w:rPr/>
        <w:t>Riris.</w:t>
      </w:r>
      <w:r>
        <w:rPr>
          <w:spacing w:val="22"/>
        </w:rPr>
        <w:t> </w:t>
      </w:r>
      <w:r>
        <w:rPr/>
        <w:t>(2020).</w:t>
      </w:r>
      <w:r>
        <w:rPr>
          <w:spacing w:val="23"/>
        </w:rPr>
        <w:t> </w:t>
      </w:r>
      <w:r>
        <w:rPr/>
        <w:t>Bentuk</w:t>
      </w:r>
      <w:r>
        <w:rPr>
          <w:spacing w:val="22"/>
        </w:rPr>
        <w:t> </w:t>
      </w:r>
      <w:r>
        <w:rPr/>
        <w:t>Pemerintahan</w:t>
      </w:r>
      <w:r>
        <w:rPr>
          <w:spacing w:val="29"/>
        </w:rPr>
        <w:t> </w:t>
      </w:r>
      <w:r>
        <w:rPr/>
        <w:t>Ibu</w:t>
      </w:r>
      <w:r>
        <w:rPr>
          <w:spacing w:val="21"/>
        </w:rPr>
        <w:t> </w:t>
      </w:r>
      <w:r>
        <w:rPr/>
        <w:t>Kota</w:t>
      </w:r>
      <w:r>
        <w:rPr>
          <w:spacing w:val="24"/>
        </w:rPr>
        <w:t> </w:t>
      </w:r>
      <w:r>
        <w:rPr/>
        <w:t>Negara</w:t>
      </w:r>
      <w:r>
        <w:rPr>
          <w:spacing w:val="20"/>
        </w:rPr>
        <w:t> </w:t>
      </w:r>
      <w:r>
        <w:rPr>
          <w:spacing w:val="-2"/>
        </w:rPr>
        <w:t>Baru.</w:t>
      </w:r>
    </w:p>
    <w:p>
      <w:pPr>
        <w:pStyle w:val="BodyText"/>
        <w:spacing w:before="2"/>
        <w:ind w:left="1421"/>
        <w:jc w:val="left"/>
      </w:pPr>
      <w:r>
        <w:rPr/>
        <w:t>Parliamentary</w:t>
      </w:r>
      <w:r>
        <w:rPr>
          <w:spacing w:val="-7"/>
        </w:rPr>
        <w:t> </w:t>
      </w:r>
      <w:r>
        <w:rPr/>
        <w:t>Review,</w:t>
      </w:r>
      <w:r>
        <w:rPr>
          <w:spacing w:val="-6"/>
        </w:rPr>
        <w:t> </w:t>
      </w:r>
      <w:r>
        <w:rPr/>
        <w:t>Vol.</w:t>
      </w:r>
      <w:r>
        <w:rPr>
          <w:spacing w:val="-5"/>
        </w:rPr>
        <w:t> </w:t>
      </w:r>
      <w:r>
        <w:rPr/>
        <w:t>II,</w:t>
      </w:r>
      <w:r>
        <w:rPr>
          <w:spacing w:val="-6"/>
        </w:rPr>
        <w:t> </w:t>
      </w:r>
      <w:r>
        <w:rPr/>
        <w:t>No.</w:t>
      </w:r>
      <w:r>
        <w:rPr>
          <w:spacing w:val="-6"/>
        </w:rPr>
        <w:t> </w:t>
      </w:r>
      <w:r>
        <w:rPr/>
        <w:t>2,</w:t>
      </w:r>
      <w:r>
        <w:rPr>
          <w:spacing w:val="-5"/>
        </w:rPr>
        <w:t> </w:t>
      </w:r>
      <w:r>
        <w:rPr>
          <w:spacing w:val="-4"/>
        </w:rPr>
        <w:t>Juni.</w:t>
      </w:r>
    </w:p>
    <w:p>
      <w:pPr>
        <w:pStyle w:val="BodyText"/>
        <w:spacing w:before="238"/>
        <w:ind w:left="566"/>
        <w:jc w:val="left"/>
      </w:pPr>
      <w:r>
        <w:rPr/>
        <w:t>Katharina,</w:t>
      </w:r>
      <w:r>
        <w:rPr>
          <w:spacing w:val="58"/>
        </w:rPr>
        <w:t> </w:t>
      </w:r>
      <w:r>
        <w:rPr/>
        <w:t>Riris.</w:t>
      </w:r>
      <w:r>
        <w:rPr>
          <w:spacing w:val="60"/>
        </w:rPr>
        <w:t> </w:t>
      </w:r>
      <w:r>
        <w:rPr/>
        <w:t>(2018).</w:t>
      </w:r>
      <w:r>
        <w:rPr>
          <w:spacing w:val="60"/>
        </w:rPr>
        <w:t> </w:t>
      </w:r>
      <w:r>
        <w:rPr/>
        <w:t>Menakar</w:t>
      </w:r>
      <w:r>
        <w:rPr>
          <w:spacing w:val="58"/>
        </w:rPr>
        <w:t> </w:t>
      </w:r>
      <w:r>
        <w:rPr/>
        <w:t>Capaian</w:t>
      </w:r>
      <w:r>
        <w:rPr>
          <w:spacing w:val="58"/>
        </w:rPr>
        <w:t> </w:t>
      </w:r>
      <w:r>
        <w:rPr/>
        <w:t>Otonomi</w:t>
      </w:r>
      <w:r>
        <w:rPr>
          <w:spacing w:val="59"/>
        </w:rPr>
        <w:t> </w:t>
      </w:r>
      <w:r>
        <w:rPr/>
        <w:t>Khusus</w:t>
      </w:r>
      <w:r>
        <w:rPr>
          <w:spacing w:val="59"/>
        </w:rPr>
        <w:t> </w:t>
      </w:r>
      <w:r>
        <w:rPr>
          <w:spacing w:val="-2"/>
        </w:rPr>
        <w:t>Papua.</w:t>
      </w:r>
    </w:p>
    <w:p>
      <w:pPr>
        <w:pStyle w:val="BodyText"/>
        <w:spacing w:before="3"/>
        <w:ind w:left="1421"/>
        <w:jc w:val="left"/>
      </w:pPr>
      <w:r>
        <w:rPr/>
        <w:t>Jakarta:</w:t>
      </w:r>
      <w:r>
        <w:rPr>
          <w:spacing w:val="-4"/>
        </w:rPr>
        <w:t> </w:t>
      </w:r>
      <w:r>
        <w:rPr/>
        <w:t>Yayasan</w:t>
      </w:r>
      <w:r>
        <w:rPr>
          <w:spacing w:val="-5"/>
        </w:rPr>
        <w:t> </w:t>
      </w:r>
      <w:r>
        <w:rPr/>
        <w:t>Obor</w:t>
      </w:r>
      <w:r>
        <w:rPr>
          <w:spacing w:val="-6"/>
        </w:rPr>
        <w:t> </w:t>
      </w:r>
      <w:r>
        <w:rPr>
          <w:spacing w:val="-2"/>
        </w:rPr>
        <w:t>Indonesia.</w:t>
      </w:r>
    </w:p>
    <w:p>
      <w:pPr>
        <w:pStyle w:val="BodyText"/>
        <w:spacing w:before="237"/>
        <w:ind w:left="1421" w:right="1261" w:hanging="855"/>
      </w:pPr>
      <w:r>
        <w:rPr/>
        <w:t>Kauzya, John-Mary.(tanpa tahun). “Chapter Two: Decentralization: Prospects for Peace, Democracy and Development”, in Bertucci, Guido, Decentralized Governance for Democracy, Peace, Development and Effective Service Delivery, UN: Division for Public Administration and Development </w:t>
      </w:r>
      <w:r>
        <w:rPr>
          <w:spacing w:val="-2"/>
        </w:rPr>
        <w:t>Management.</w:t>
      </w:r>
    </w:p>
    <w:p>
      <w:pPr>
        <w:pStyle w:val="BodyText"/>
        <w:spacing w:before="241"/>
        <w:ind w:left="566"/>
        <w:jc w:val="left"/>
      </w:pPr>
      <w:r>
        <w:rPr/>
        <w:t>Maksum,</w:t>
      </w:r>
      <w:r>
        <w:rPr>
          <w:spacing w:val="51"/>
        </w:rPr>
        <w:t> </w:t>
      </w:r>
      <w:r>
        <w:rPr/>
        <w:t>Irfan</w:t>
      </w:r>
      <w:r>
        <w:rPr>
          <w:spacing w:val="79"/>
          <w:w w:val="150"/>
        </w:rPr>
        <w:t> </w:t>
      </w:r>
      <w:r>
        <w:rPr/>
        <w:t>Ridwan.</w:t>
      </w:r>
      <w:r>
        <w:rPr>
          <w:spacing w:val="23"/>
        </w:rPr>
        <w:t>  </w:t>
      </w:r>
      <w:r>
        <w:rPr/>
        <w:t>(2014).</w:t>
      </w:r>
      <w:r>
        <w:rPr>
          <w:spacing w:val="24"/>
        </w:rPr>
        <w:t>  </w:t>
      </w:r>
      <w:r>
        <w:rPr/>
        <w:t>Spektrum</w:t>
      </w:r>
      <w:r>
        <w:rPr>
          <w:spacing w:val="26"/>
        </w:rPr>
        <w:t>  </w:t>
      </w:r>
      <w:r>
        <w:rPr/>
        <w:t>Otonomi</w:t>
      </w:r>
      <w:r>
        <w:rPr>
          <w:spacing w:val="23"/>
        </w:rPr>
        <w:t>  </w:t>
      </w:r>
      <w:r>
        <w:rPr>
          <w:spacing w:val="-2"/>
        </w:rPr>
        <w:t>Kekhususan.</w:t>
      </w:r>
    </w:p>
    <w:p>
      <w:pPr>
        <w:pStyle w:val="BodyText"/>
        <w:spacing w:before="3"/>
        <w:ind w:left="1421"/>
        <w:jc w:val="left"/>
      </w:pPr>
      <w:r>
        <w:rPr>
          <w:spacing w:val="-2"/>
        </w:rPr>
        <w:t>Kompas.</w:t>
      </w:r>
    </w:p>
    <w:p>
      <w:pPr>
        <w:pStyle w:val="BodyText"/>
        <w:spacing w:before="237"/>
        <w:ind w:left="1421" w:right="1264" w:hanging="855"/>
      </w:pPr>
      <w:r>
        <w:rPr/>
        <w:t>Maksum, Irfan Ridwan. (2006). Desentralisasi dalam Pengelolaan Air Irigasi Tersier (Suatu Studi dengan Kerangka Konsep Desentralisasi</w:t>
      </w:r>
      <w:r>
        <w:rPr>
          <w:spacing w:val="-17"/>
        </w:rPr>
        <w:t> </w:t>
      </w:r>
      <w:r>
        <w:rPr/>
        <w:t>Teritorial</w:t>
      </w:r>
      <w:r>
        <w:rPr>
          <w:spacing w:val="-16"/>
        </w:rPr>
        <w:t> </w:t>
      </w:r>
      <w:r>
        <w:rPr/>
        <w:t>dan</w:t>
      </w:r>
      <w:r>
        <w:rPr>
          <w:spacing w:val="-17"/>
        </w:rPr>
        <w:t> </w:t>
      </w:r>
      <w:r>
        <w:rPr/>
        <w:t>Fungsional</w:t>
      </w:r>
      <w:r>
        <w:rPr>
          <w:spacing w:val="-16"/>
        </w:rPr>
        <w:t> </w:t>
      </w:r>
      <w:r>
        <w:rPr/>
        <w:t>di</w:t>
      </w:r>
      <w:r>
        <w:rPr>
          <w:spacing w:val="-17"/>
        </w:rPr>
        <w:t> </w:t>
      </w:r>
      <w:r>
        <w:rPr/>
        <w:t>Kabupaten</w:t>
      </w:r>
      <w:r>
        <w:rPr>
          <w:spacing w:val="-16"/>
        </w:rPr>
        <w:t> </w:t>
      </w:r>
      <w:r>
        <w:rPr/>
        <w:t>dan</w:t>
      </w:r>
      <w:r>
        <w:rPr>
          <w:spacing w:val="-17"/>
        </w:rPr>
        <w:t> </w:t>
      </w:r>
      <w:r>
        <w:rPr/>
        <w:t>Kota Tegal,</w:t>
      </w:r>
      <w:r>
        <w:rPr>
          <w:spacing w:val="-1"/>
        </w:rPr>
        <w:t> </w:t>
      </w:r>
      <w:r>
        <w:rPr/>
        <w:t>Jawa</w:t>
      </w:r>
      <w:r>
        <w:rPr>
          <w:spacing w:val="-3"/>
        </w:rPr>
        <w:t> </w:t>
      </w:r>
      <w:r>
        <w:rPr/>
        <w:t>Tengah,</w:t>
      </w:r>
      <w:r>
        <w:rPr>
          <w:spacing w:val="-1"/>
        </w:rPr>
        <w:t> </w:t>
      </w:r>
      <w:r>
        <w:rPr/>
        <w:t>di</w:t>
      </w:r>
      <w:r>
        <w:rPr>
          <w:spacing w:val="-2"/>
        </w:rPr>
        <w:t> </w:t>
      </w:r>
      <w:r>
        <w:rPr/>
        <w:t>Kabupaten</w:t>
      </w:r>
      <w:r>
        <w:rPr>
          <w:spacing w:val="-3"/>
        </w:rPr>
        <w:t> </w:t>
      </w:r>
      <w:r>
        <w:rPr/>
        <w:t>Jembrana,</w:t>
      </w:r>
      <w:r>
        <w:rPr>
          <w:spacing w:val="-1"/>
        </w:rPr>
        <w:t> </w:t>
      </w:r>
      <w:r>
        <w:rPr/>
        <w:t>Bali,</w:t>
      </w:r>
      <w:r>
        <w:rPr>
          <w:spacing w:val="-1"/>
        </w:rPr>
        <w:t> </w:t>
      </w:r>
      <w:r>
        <w:rPr/>
        <w:t>dan</w:t>
      </w:r>
      <w:r>
        <w:rPr>
          <w:spacing w:val="-3"/>
        </w:rPr>
        <w:t> </w:t>
      </w:r>
      <w:r>
        <w:rPr/>
        <w:t>di</w:t>
      </w:r>
      <w:r>
        <w:rPr>
          <w:spacing w:val="-2"/>
        </w:rPr>
        <w:t> </w:t>
      </w:r>
      <w:r>
        <w:rPr/>
        <w:t>Hulu Langat, Selangor, Malaysia). MAKARA, Sosial Humaniora, Vol. 10, No. 1, Juni, 1 - 7. http:// hubsasia.ui.ac.id/old/index.php/hubsasia/article/ view/9/148. Diakses 4 Mei 2020</w:t>
      </w:r>
    </w:p>
    <w:p>
      <w:pPr>
        <w:pStyle w:val="BodyText"/>
        <w:tabs>
          <w:tab w:pos="2026" w:val="left" w:leader="none"/>
          <w:tab w:pos="3754" w:val="left" w:leader="none"/>
          <w:tab w:pos="4393" w:val="left" w:leader="none"/>
          <w:tab w:pos="5857" w:val="left" w:leader="none"/>
          <w:tab w:pos="7130" w:val="left" w:leader="none"/>
        </w:tabs>
        <w:spacing w:before="241"/>
        <w:ind w:left="566"/>
        <w:jc w:val="left"/>
      </w:pPr>
      <w:r>
        <w:rPr>
          <w:spacing w:val="-2"/>
        </w:rPr>
        <w:t>Mardiasmo,</w:t>
      </w:r>
      <w:r>
        <w:rPr/>
        <w:tab/>
      </w:r>
      <w:r>
        <w:rPr>
          <w:spacing w:val="-2"/>
        </w:rPr>
        <w:t>2002.Otonomi</w:t>
      </w:r>
      <w:r>
        <w:rPr/>
        <w:tab/>
      </w:r>
      <w:r>
        <w:rPr>
          <w:spacing w:val="-5"/>
        </w:rPr>
        <w:t>Dan</w:t>
      </w:r>
      <w:r>
        <w:rPr/>
        <w:tab/>
      </w:r>
      <w:r>
        <w:rPr>
          <w:spacing w:val="-2"/>
        </w:rPr>
        <w:t>Manajemen</w:t>
      </w:r>
      <w:r>
        <w:rPr/>
        <w:tab/>
      </w:r>
      <w:r>
        <w:rPr>
          <w:spacing w:val="-2"/>
        </w:rPr>
        <w:t>Keuangan</w:t>
      </w:r>
      <w:r>
        <w:rPr/>
        <w:tab/>
      </w:r>
      <w:r>
        <w:rPr>
          <w:spacing w:val="-2"/>
        </w:rPr>
        <w:t>Daerah.</w:t>
      </w:r>
    </w:p>
    <w:p>
      <w:pPr>
        <w:pStyle w:val="BodyText"/>
        <w:spacing w:before="2"/>
        <w:ind w:left="1421"/>
        <w:jc w:val="left"/>
      </w:pPr>
      <w:r>
        <w:rPr>
          <w:spacing w:val="-2"/>
        </w:rPr>
        <w:t>ANDI:Yogyakarta.</w:t>
      </w:r>
    </w:p>
    <w:p>
      <w:pPr>
        <w:pStyle w:val="BodyText"/>
        <w:spacing w:line="242" w:lineRule="auto" w:before="238"/>
        <w:ind w:left="1421" w:right="1271" w:hanging="855"/>
      </w:pPr>
      <w:r>
        <w:rPr/>
        <w:t>McGarry, Jhon. (2007). Asymmetry in Federations, Federacies, and Unitary</w:t>
      </w:r>
      <w:r>
        <w:rPr>
          <w:spacing w:val="-11"/>
        </w:rPr>
        <w:t> </w:t>
      </w:r>
      <w:r>
        <w:rPr/>
        <w:t>States.</w:t>
      </w:r>
      <w:r>
        <w:rPr>
          <w:spacing w:val="-9"/>
        </w:rPr>
        <w:t> </w:t>
      </w:r>
      <w:r>
        <w:rPr/>
        <w:t>Ethnopolitics,</w:t>
      </w:r>
      <w:r>
        <w:rPr>
          <w:spacing w:val="-9"/>
        </w:rPr>
        <w:t> </w:t>
      </w:r>
      <w:r>
        <w:rPr/>
        <w:t>Vol.</w:t>
      </w:r>
      <w:r>
        <w:rPr>
          <w:spacing w:val="-10"/>
        </w:rPr>
        <w:t> </w:t>
      </w:r>
      <w:r>
        <w:rPr/>
        <w:t>6,</w:t>
      </w:r>
      <w:r>
        <w:rPr>
          <w:spacing w:val="-10"/>
        </w:rPr>
        <w:t> </w:t>
      </w:r>
      <w:r>
        <w:rPr/>
        <w:t>No.</w:t>
      </w:r>
      <w:r>
        <w:rPr>
          <w:spacing w:val="-9"/>
        </w:rPr>
        <w:t> </w:t>
      </w:r>
      <w:r>
        <w:rPr/>
        <w:t>1,</w:t>
      </w:r>
      <w:r>
        <w:rPr>
          <w:spacing w:val="-15"/>
        </w:rPr>
        <w:t> </w:t>
      </w:r>
      <w:r>
        <w:rPr/>
        <w:t>105</w:t>
      </w:r>
      <w:r>
        <w:rPr>
          <w:spacing w:val="-15"/>
        </w:rPr>
        <w:t> </w:t>
      </w:r>
      <w:r>
        <w:rPr/>
        <w:t>–</w:t>
      </w:r>
      <w:r>
        <w:rPr>
          <w:spacing w:val="-11"/>
        </w:rPr>
        <w:t> </w:t>
      </w:r>
      <w:r>
        <w:rPr/>
        <w:t>116,</w:t>
      </w:r>
      <w:r>
        <w:rPr>
          <w:spacing w:val="-9"/>
        </w:rPr>
        <w:t> </w:t>
      </w:r>
      <w:r>
        <w:rPr/>
        <w:t>March</w:t>
      </w:r>
      <w:r>
        <w:rPr>
          <w:spacing w:val="-13"/>
        </w:rPr>
        <w:t> </w:t>
      </w:r>
      <w:r>
        <w:rPr/>
        <w:t>25</w:t>
      </w:r>
    </w:p>
    <w:p>
      <w:pPr>
        <w:pStyle w:val="BodyText"/>
        <w:spacing w:before="233"/>
        <w:ind w:left="1421" w:right="1258" w:hanging="855"/>
      </w:pPr>
      <w:r>
        <w:rPr/>
        <w:t>Mohsin,</w:t>
      </w:r>
      <w:r>
        <w:rPr>
          <w:spacing w:val="-7"/>
        </w:rPr>
        <w:t> </w:t>
      </w:r>
      <w:r>
        <w:rPr/>
        <w:t>M.,</w:t>
      </w:r>
      <w:r>
        <w:rPr>
          <w:spacing w:val="-7"/>
        </w:rPr>
        <w:t> </w:t>
      </w:r>
      <w:r>
        <w:rPr/>
        <w:t>Zhu,</w:t>
      </w:r>
      <w:r>
        <w:rPr>
          <w:spacing w:val="-12"/>
        </w:rPr>
        <w:t> </w:t>
      </w:r>
      <w:r>
        <w:rPr/>
        <w:t>Q.,</w:t>
      </w:r>
      <w:r>
        <w:rPr>
          <w:spacing w:val="-6"/>
        </w:rPr>
        <w:t> </w:t>
      </w:r>
      <w:r>
        <w:rPr/>
        <w:t>Naseem,</w:t>
      </w:r>
      <w:r>
        <w:rPr>
          <w:spacing w:val="-7"/>
        </w:rPr>
        <w:t> </w:t>
      </w:r>
      <w:r>
        <w:rPr/>
        <w:t>S.,</w:t>
      </w:r>
      <w:r>
        <w:rPr>
          <w:spacing w:val="-11"/>
        </w:rPr>
        <w:t> </w:t>
      </w:r>
      <w:r>
        <w:rPr/>
        <w:t>Sarfraz,</w:t>
      </w:r>
      <w:r>
        <w:rPr>
          <w:spacing w:val="-6"/>
        </w:rPr>
        <w:t> </w:t>
      </w:r>
      <w:r>
        <w:rPr/>
        <w:t>M.,</w:t>
      </w:r>
      <w:r>
        <w:rPr>
          <w:spacing w:val="-11"/>
        </w:rPr>
        <w:t> </w:t>
      </w:r>
      <w:r>
        <w:rPr/>
        <w:t>&amp;</w:t>
      </w:r>
      <w:r>
        <w:rPr>
          <w:spacing w:val="-17"/>
        </w:rPr>
        <w:t> </w:t>
      </w:r>
      <w:r>
        <w:rPr/>
        <w:t>Ivascu,</w:t>
      </w:r>
      <w:r>
        <w:rPr>
          <w:spacing w:val="-6"/>
        </w:rPr>
        <w:t> </w:t>
      </w:r>
      <w:r>
        <w:rPr/>
        <w:t>L.</w:t>
      </w:r>
      <w:r>
        <w:rPr>
          <w:spacing w:val="-7"/>
        </w:rPr>
        <w:t> </w:t>
      </w:r>
      <w:r>
        <w:rPr/>
        <w:t>(2021).</w:t>
      </w:r>
      <w:r>
        <w:rPr>
          <w:spacing w:val="-7"/>
        </w:rPr>
        <w:t> </w:t>
      </w:r>
      <w:r>
        <w:rPr/>
        <w:t>Mining industry impact on environmental sustainability, economic growth,</w:t>
      </w:r>
      <w:r>
        <w:rPr>
          <w:spacing w:val="-5"/>
        </w:rPr>
        <w:t> </w:t>
      </w:r>
      <w:r>
        <w:rPr/>
        <w:t>social</w:t>
      </w:r>
      <w:r>
        <w:rPr>
          <w:spacing w:val="-6"/>
        </w:rPr>
        <w:t> </w:t>
      </w:r>
      <w:r>
        <w:rPr/>
        <w:t>interaction,</w:t>
      </w:r>
      <w:r>
        <w:rPr>
          <w:spacing w:val="-5"/>
        </w:rPr>
        <w:t> </w:t>
      </w:r>
      <w:r>
        <w:rPr/>
        <w:t>and</w:t>
      </w:r>
      <w:r>
        <w:rPr>
          <w:spacing w:val="-8"/>
        </w:rPr>
        <w:t> </w:t>
      </w:r>
      <w:r>
        <w:rPr/>
        <w:t>public</w:t>
      </w:r>
      <w:r>
        <w:rPr>
          <w:spacing w:val="-6"/>
        </w:rPr>
        <w:t> </w:t>
      </w:r>
      <w:r>
        <w:rPr/>
        <w:t>health:</w:t>
      </w:r>
      <w:r>
        <w:rPr>
          <w:spacing w:val="-5"/>
        </w:rPr>
        <w:t> </w:t>
      </w:r>
      <w:r>
        <w:rPr/>
        <w:t>An</w:t>
      </w:r>
      <w:r>
        <w:rPr>
          <w:spacing w:val="-7"/>
        </w:rPr>
        <w:t> </w:t>
      </w:r>
      <w:r>
        <w:rPr/>
        <w:t>application</w:t>
      </w:r>
      <w:r>
        <w:rPr>
          <w:spacing w:val="-7"/>
        </w:rPr>
        <w:t> </w:t>
      </w:r>
      <w:r>
        <w:rPr/>
        <w:t>of semi-quantitative mathematical approach. </w:t>
      </w:r>
      <w:r>
        <w:rPr>
          <w:i/>
        </w:rPr>
        <w:t>Processes</w:t>
      </w:r>
      <w:r>
        <w:rPr/>
        <w:t>, </w:t>
      </w:r>
      <w:r>
        <w:rPr>
          <w:i/>
        </w:rPr>
        <w:t>9</w:t>
      </w:r>
      <w:r>
        <w:rPr/>
        <w:t>(6). </w:t>
      </w:r>
      <w:r>
        <w:rPr>
          <w:spacing w:val="-2"/>
        </w:rPr>
        <w:t>https://doi.org/10.3390/pr9060972</w:t>
      </w:r>
    </w:p>
    <w:p>
      <w:pPr>
        <w:pStyle w:val="BodyText"/>
        <w:spacing w:line="237" w:lineRule="auto" w:before="246"/>
        <w:ind w:left="1421" w:right="1275" w:hanging="855"/>
      </w:pPr>
      <w:r>
        <w:rPr/>
        <w:t>Musgrave, R.A &amp; Musgrave, P. (1984), Public Finance in Theory and Practice. New York. McGraw-Hill Inc.</w:t>
      </w:r>
    </w:p>
    <w:p>
      <w:pPr>
        <w:pStyle w:val="BodyText"/>
        <w:spacing w:before="244"/>
        <w:ind w:left="1421" w:right="1270" w:hanging="855"/>
      </w:pPr>
      <w:r>
        <w:rPr/>
        <w:t>Nainggolan, Poltak Partogi.(2020). Perspektif Hubungan Internasional Pemindahan</w:t>
      </w:r>
      <w:r>
        <w:rPr>
          <w:spacing w:val="-3"/>
        </w:rPr>
        <w:t> </w:t>
      </w:r>
      <w:r>
        <w:rPr/>
        <w:t>Ibu</w:t>
      </w:r>
      <w:r>
        <w:rPr>
          <w:spacing w:val="-3"/>
        </w:rPr>
        <w:t> </w:t>
      </w:r>
      <w:r>
        <w:rPr/>
        <w:t>Kota</w:t>
      </w:r>
      <w:r>
        <w:rPr>
          <w:spacing w:val="-3"/>
        </w:rPr>
        <w:t> </w:t>
      </w:r>
      <w:r>
        <w:rPr/>
        <w:t>Indonesia.</w:t>
      </w:r>
      <w:r>
        <w:rPr>
          <w:spacing w:val="-2"/>
        </w:rPr>
        <w:t> </w:t>
      </w:r>
      <w:r>
        <w:rPr/>
        <w:t>Parliamentary</w:t>
      </w:r>
      <w:r>
        <w:rPr>
          <w:spacing w:val="-3"/>
        </w:rPr>
        <w:t> </w:t>
      </w:r>
      <w:r>
        <w:rPr/>
        <w:t>Review,</w:t>
      </w:r>
      <w:r>
        <w:rPr>
          <w:spacing w:val="-2"/>
        </w:rPr>
        <w:t> </w:t>
      </w:r>
      <w:r>
        <w:rPr/>
        <w:t>Vol.</w:t>
      </w:r>
      <w:r>
        <w:rPr>
          <w:spacing w:val="-2"/>
        </w:rPr>
        <w:t> </w:t>
      </w:r>
      <w:r>
        <w:rPr/>
        <w:t>II, No. 2, Juni.</w:t>
      </w:r>
    </w:p>
    <w:p>
      <w:pPr>
        <w:pStyle w:val="BodyText"/>
        <w:spacing w:after="0"/>
        <w:sectPr>
          <w:pgSz w:w="11910" w:h="16840"/>
          <w:pgMar w:header="0" w:footer="1186" w:top="1580" w:bottom="1380" w:left="1700" w:right="992"/>
        </w:sectPr>
      </w:pPr>
    </w:p>
    <w:p>
      <w:pPr>
        <w:pStyle w:val="BodyText"/>
        <w:spacing w:line="242" w:lineRule="auto" w:before="82"/>
        <w:ind w:left="1421" w:right="1277" w:hanging="855"/>
      </w:pPr>
      <w:r>
        <w:rPr/>
        <w:t>Nainggolan, Poltak Partogi., Katharina, Riris. (2022). DPR dan Defisit Demokrasi. Jakarta. Yayasan Obor Indonesia.</w:t>
      </w:r>
    </w:p>
    <w:p>
      <w:pPr>
        <w:pStyle w:val="BodyText"/>
        <w:spacing w:before="234"/>
        <w:ind w:left="993" w:right="1277" w:hanging="428"/>
      </w:pPr>
      <w:r>
        <w:rPr/>
        <w:t>Nurhemi &amp; Suryani, G.R. (2015), Dampak Otonomi Keuangan Daerah terhadap Pertumbuhan Ekonomi Indonesia, Bulletin of Monetary Economics and Banking, 18 (2): 183-206.</w:t>
      </w:r>
    </w:p>
    <w:p>
      <w:pPr>
        <w:pStyle w:val="BodyText"/>
        <w:spacing w:line="318" w:lineRule="exact" w:before="242"/>
        <w:ind w:left="633"/>
        <w:jc w:val="left"/>
      </w:pPr>
      <w:r>
        <w:rPr/>
        <w:t>“Penetapan</w:t>
      </w:r>
      <w:r>
        <w:rPr>
          <w:spacing w:val="38"/>
        </w:rPr>
        <w:t> </w:t>
      </w:r>
      <w:r>
        <w:rPr/>
        <w:t>Dapil</w:t>
      </w:r>
      <w:r>
        <w:rPr>
          <w:spacing w:val="40"/>
        </w:rPr>
        <w:t> </w:t>
      </w:r>
      <w:r>
        <w:rPr/>
        <w:t>di</w:t>
      </w:r>
      <w:r>
        <w:rPr>
          <w:spacing w:val="41"/>
        </w:rPr>
        <w:t> </w:t>
      </w:r>
      <w:r>
        <w:rPr/>
        <w:t>Kukar</w:t>
      </w:r>
      <w:r>
        <w:rPr>
          <w:spacing w:val="39"/>
        </w:rPr>
        <w:t> </w:t>
      </w:r>
      <w:r>
        <w:rPr/>
        <w:t>Berubah,</w:t>
      </w:r>
      <w:r>
        <w:rPr>
          <w:spacing w:val="42"/>
        </w:rPr>
        <w:t> </w:t>
      </w:r>
      <w:r>
        <w:rPr/>
        <w:t>Dapil</w:t>
      </w:r>
      <w:r>
        <w:rPr>
          <w:spacing w:val="40"/>
        </w:rPr>
        <w:t> </w:t>
      </w:r>
      <w:r>
        <w:rPr/>
        <w:t>5</w:t>
      </w:r>
      <w:r>
        <w:rPr>
          <w:spacing w:val="45"/>
        </w:rPr>
        <w:t> </w:t>
      </w:r>
      <w:r>
        <w:rPr/>
        <w:t>Dialokasikan</w:t>
      </w:r>
      <w:r>
        <w:rPr>
          <w:spacing w:val="40"/>
        </w:rPr>
        <w:t> </w:t>
      </w:r>
      <w:r>
        <w:rPr/>
        <w:t>9</w:t>
      </w:r>
      <w:r>
        <w:rPr>
          <w:spacing w:val="42"/>
        </w:rPr>
        <w:t> </w:t>
      </w:r>
      <w:r>
        <w:rPr>
          <w:spacing w:val="-2"/>
        </w:rPr>
        <w:t>Kursi,”</w:t>
      </w:r>
    </w:p>
    <w:p>
      <w:pPr>
        <w:spacing w:line="318" w:lineRule="exact" w:before="0"/>
        <w:ind w:left="1421" w:right="0" w:firstLine="0"/>
        <w:jc w:val="left"/>
        <w:rPr>
          <w:sz w:val="24"/>
        </w:rPr>
      </w:pPr>
      <w:r>
        <w:rPr>
          <w:i/>
          <w:sz w:val="24"/>
        </w:rPr>
        <w:t>Radar</w:t>
      </w:r>
      <w:r>
        <w:rPr>
          <w:i/>
          <w:spacing w:val="-8"/>
          <w:sz w:val="24"/>
        </w:rPr>
        <w:t> </w:t>
      </w:r>
      <w:r>
        <w:rPr>
          <w:i/>
          <w:sz w:val="24"/>
        </w:rPr>
        <w:t>Kukar</w:t>
      </w:r>
      <w:r>
        <w:rPr>
          <w:sz w:val="24"/>
        </w:rPr>
        <w:t>.com.</w:t>
      </w:r>
      <w:r>
        <w:rPr>
          <w:spacing w:val="-7"/>
          <w:sz w:val="24"/>
        </w:rPr>
        <w:t> </w:t>
      </w:r>
      <w:r>
        <w:rPr>
          <w:sz w:val="24"/>
        </w:rPr>
        <w:t>9</w:t>
      </w:r>
      <w:r>
        <w:rPr>
          <w:spacing w:val="-8"/>
          <w:sz w:val="24"/>
        </w:rPr>
        <w:t> </w:t>
      </w:r>
      <w:r>
        <w:rPr>
          <w:sz w:val="24"/>
        </w:rPr>
        <w:t>Pebruari</w:t>
      </w:r>
      <w:r>
        <w:rPr>
          <w:spacing w:val="-8"/>
          <w:sz w:val="24"/>
        </w:rPr>
        <w:t> </w:t>
      </w:r>
      <w:r>
        <w:rPr>
          <w:spacing w:val="-4"/>
          <w:sz w:val="24"/>
        </w:rPr>
        <w:t>2023</w:t>
      </w:r>
    </w:p>
    <w:p>
      <w:pPr>
        <w:pStyle w:val="BodyText"/>
        <w:spacing w:before="243"/>
        <w:ind w:left="1421" w:right="1266" w:hanging="855"/>
      </w:pPr>
      <w:r>
        <w:rPr/>
        <w:t>Peraturan Presiden (Perpres) Nomor 62 Tahun 2022 tentang Otorita Ibu</w:t>
      </w:r>
      <w:r>
        <w:rPr>
          <w:spacing w:val="-17"/>
        </w:rPr>
        <w:t> </w:t>
      </w:r>
      <w:r>
        <w:rPr/>
        <w:t>Kota</w:t>
      </w:r>
      <w:r>
        <w:rPr>
          <w:spacing w:val="-16"/>
        </w:rPr>
        <w:t> </w:t>
      </w:r>
      <w:r>
        <w:rPr/>
        <w:t>Nusantara</w:t>
      </w:r>
      <w:r>
        <w:rPr>
          <w:spacing w:val="-17"/>
        </w:rPr>
        <w:t> </w:t>
      </w:r>
      <w:r>
        <w:rPr/>
        <w:t>Prasojo,</w:t>
      </w:r>
      <w:r>
        <w:rPr>
          <w:spacing w:val="-16"/>
        </w:rPr>
        <w:t> </w:t>
      </w:r>
      <w:r>
        <w:rPr/>
        <w:t>E.,</w:t>
      </w:r>
      <w:r>
        <w:rPr>
          <w:spacing w:val="-16"/>
        </w:rPr>
        <w:t> </w:t>
      </w:r>
      <w:r>
        <w:rPr/>
        <w:t>&amp;</w:t>
      </w:r>
      <w:r>
        <w:rPr>
          <w:spacing w:val="-16"/>
        </w:rPr>
        <w:t> </w:t>
      </w:r>
      <w:r>
        <w:rPr/>
        <w:t>Hariyati,</w:t>
      </w:r>
      <w:r>
        <w:rPr>
          <w:spacing w:val="-16"/>
        </w:rPr>
        <w:t> </w:t>
      </w:r>
      <w:r>
        <w:rPr/>
        <w:t>D.</w:t>
      </w:r>
      <w:r>
        <w:rPr>
          <w:spacing w:val="-15"/>
        </w:rPr>
        <w:t> </w:t>
      </w:r>
      <w:r>
        <w:rPr/>
        <w:t>(2012).</w:t>
      </w:r>
      <w:r>
        <w:rPr>
          <w:spacing w:val="-17"/>
        </w:rPr>
        <w:t> </w:t>
      </w:r>
      <w:r>
        <w:rPr/>
        <w:t>Improving Quality of Civil Service in Decentralization Era: Problems and Strategies (dalam Local governance under stress : integrated human capacity building in the age of decentralization). EROPA Local Government Center.</w:t>
      </w:r>
    </w:p>
    <w:p>
      <w:pPr>
        <w:pStyle w:val="BodyText"/>
        <w:spacing w:before="240"/>
        <w:ind w:left="993" w:right="1268" w:hanging="428"/>
      </w:pPr>
      <w:r>
        <w:rPr/>
        <w:t>Prasojo, Eko, et.al. (2012). Dampak Dan Masalah-Masalah Dalam Penyelenggaraan Pemerintahan Daerah Otonom Baru. Jakarta: UI </w:t>
      </w:r>
      <w:r>
        <w:rPr>
          <w:spacing w:val="-2"/>
        </w:rPr>
        <w:t>Press.</w:t>
      </w:r>
    </w:p>
    <w:p>
      <w:pPr>
        <w:pStyle w:val="BodyText"/>
        <w:spacing w:before="238"/>
        <w:ind w:left="1421" w:right="1267" w:hanging="855"/>
      </w:pPr>
      <w:r>
        <w:rPr/>
        <w:t>Prasojo, Eko. (2008). Konstruksi Ulang Hubungan Pemerintah Pusat dan Pemerintah Daerah di Indonesia: Antara Sentripetalisme dan Sentrifugalisme (Reconstruction of Central – Local Government Relation in Indonesia: Between Centripetal and Centrifugal</w:t>
      </w:r>
      <w:r>
        <w:rPr>
          <w:spacing w:val="-17"/>
        </w:rPr>
        <w:t> </w:t>
      </w:r>
      <w:r>
        <w:rPr/>
        <w:t>Forces),</w:t>
      </w:r>
      <w:r>
        <w:rPr>
          <w:spacing w:val="-10"/>
        </w:rPr>
        <w:t> </w:t>
      </w:r>
      <w:r>
        <w:rPr/>
        <w:t>Inauguration</w:t>
      </w:r>
      <w:r>
        <w:rPr>
          <w:spacing w:val="-9"/>
        </w:rPr>
        <w:t> </w:t>
      </w:r>
      <w:r>
        <w:rPr/>
        <w:t>speech,</w:t>
      </w:r>
      <w:r>
        <w:rPr>
          <w:spacing w:val="-11"/>
        </w:rPr>
        <w:t> </w:t>
      </w:r>
      <w:r>
        <w:rPr/>
        <w:t>Jakarta:</w:t>
      </w:r>
      <w:r>
        <w:rPr>
          <w:spacing w:val="-11"/>
        </w:rPr>
        <w:t> </w:t>
      </w:r>
      <w:r>
        <w:rPr/>
        <w:t>University</w:t>
      </w:r>
      <w:r>
        <w:rPr>
          <w:spacing w:val="-12"/>
        </w:rPr>
        <w:t> </w:t>
      </w:r>
      <w:r>
        <w:rPr/>
        <w:t>of Indonesia, Faculty of Social and Political Sciences.</w:t>
      </w:r>
    </w:p>
    <w:p>
      <w:pPr>
        <w:pStyle w:val="BodyText"/>
        <w:spacing w:line="242" w:lineRule="auto" w:before="241"/>
        <w:ind w:left="993" w:right="1266" w:hanging="428"/>
      </w:pPr>
      <w:r>
        <w:rPr/>
        <w:t>Prasojo, Eko. (2006). "The Problem of Regional Proliferation in Indonesia after Big Bang Decentralization." sebuah makalah.</w:t>
      </w:r>
    </w:p>
    <w:p>
      <w:pPr>
        <w:pStyle w:val="BodyText"/>
        <w:tabs>
          <w:tab w:pos="2582" w:val="left" w:leader="none"/>
          <w:tab w:pos="3677" w:val="left" w:leader="none"/>
          <w:tab w:pos="5704" w:val="left" w:leader="none"/>
          <w:tab w:pos="6991" w:val="left" w:leader="none"/>
        </w:tabs>
        <w:spacing w:before="233"/>
        <w:ind w:left="993" w:right="1272" w:hanging="428"/>
      </w:pPr>
      <w:r>
        <w:rPr/>
        <w:t>Putranto,</w:t>
      </w:r>
      <w:r>
        <w:rPr>
          <w:spacing w:val="-2"/>
        </w:rPr>
        <w:t> </w:t>
      </w:r>
      <w:r>
        <w:rPr/>
        <w:t>T.</w:t>
      </w:r>
      <w:r>
        <w:rPr>
          <w:spacing w:val="-2"/>
        </w:rPr>
        <w:t> </w:t>
      </w:r>
      <w:r>
        <w:rPr/>
        <w:t>T.,</w:t>
      </w:r>
      <w:r>
        <w:rPr>
          <w:spacing w:val="-1"/>
        </w:rPr>
        <w:t> </w:t>
      </w:r>
      <w:r>
        <w:rPr/>
        <w:t>Winarno,</w:t>
      </w:r>
      <w:r>
        <w:rPr>
          <w:spacing w:val="-2"/>
        </w:rPr>
        <w:t> </w:t>
      </w:r>
      <w:r>
        <w:rPr/>
        <w:t>T.,</w:t>
      </w:r>
      <w:r>
        <w:rPr>
          <w:spacing w:val="-1"/>
        </w:rPr>
        <w:t> </w:t>
      </w:r>
      <w:r>
        <w:rPr/>
        <w:t>&amp;</w:t>
      </w:r>
      <w:r>
        <w:rPr>
          <w:spacing w:val="-2"/>
        </w:rPr>
        <w:t> </w:t>
      </w:r>
      <w:r>
        <w:rPr/>
        <w:t>Susanta,</w:t>
      </w:r>
      <w:r>
        <w:rPr>
          <w:spacing w:val="-2"/>
        </w:rPr>
        <w:t> </w:t>
      </w:r>
      <w:r>
        <w:rPr/>
        <w:t>A.</w:t>
      </w:r>
      <w:r>
        <w:rPr>
          <w:spacing w:val="-2"/>
        </w:rPr>
        <w:t> </w:t>
      </w:r>
      <w:r>
        <w:rPr/>
        <w:t>P.</w:t>
      </w:r>
      <w:r>
        <w:rPr>
          <w:spacing w:val="-2"/>
        </w:rPr>
        <w:t> </w:t>
      </w:r>
      <w:r>
        <w:rPr/>
        <w:t>A. (2020).</w:t>
      </w:r>
      <w:r>
        <w:rPr>
          <w:spacing w:val="-2"/>
        </w:rPr>
        <w:t> </w:t>
      </w:r>
      <w:r>
        <w:rPr/>
        <w:t>Risk</w:t>
      </w:r>
      <w:r>
        <w:rPr>
          <w:spacing w:val="-2"/>
        </w:rPr>
        <w:t> </w:t>
      </w:r>
      <w:r>
        <w:rPr/>
        <w:t>assessment of groundwater abstraction vulnerability using spatial analysis: Case study at Salatiga Groundwater Basin, Indonesia. </w:t>
      </w:r>
      <w:r>
        <w:rPr>
          <w:i/>
        </w:rPr>
        <w:t>Indonesian </w:t>
      </w:r>
      <w:r>
        <w:rPr>
          <w:i/>
          <w:spacing w:val="-2"/>
        </w:rPr>
        <w:t>Journal</w:t>
      </w:r>
      <w:r>
        <w:rPr>
          <w:i/>
        </w:rPr>
        <w:tab/>
      </w:r>
      <w:r>
        <w:rPr>
          <w:i/>
          <w:spacing w:val="-6"/>
        </w:rPr>
        <w:t>on</w:t>
      </w:r>
      <w:r>
        <w:rPr>
          <w:i/>
        </w:rPr>
        <w:tab/>
      </w:r>
      <w:r>
        <w:rPr>
          <w:i/>
          <w:spacing w:val="-2"/>
        </w:rPr>
        <w:t>Geoscience</w:t>
      </w:r>
      <w:r>
        <w:rPr>
          <w:spacing w:val="-2"/>
        </w:rPr>
        <w:t>,</w:t>
      </w:r>
      <w:r>
        <w:rPr/>
        <w:tab/>
      </w:r>
      <w:r>
        <w:rPr>
          <w:i/>
          <w:spacing w:val="-2"/>
        </w:rPr>
        <w:t>7</w:t>
      </w:r>
      <w:r>
        <w:rPr>
          <w:spacing w:val="-2"/>
        </w:rPr>
        <w:t>(2),</w:t>
      </w:r>
      <w:r>
        <w:rPr/>
        <w:tab/>
      </w:r>
      <w:r>
        <w:rPr>
          <w:spacing w:val="-2"/>
        </w:rPr>
        <w:t>215–224. https://doi.org/10.17014/ijog.7.2.215-224</w:t>
      </w:r>
    </w:p>
    <w:p>
      <w:pPr>
        <w:pStyle w:val="BodyText"/>
        <w:spacing w:before="243"/>
        <w:ind w:left="1421" w:right="1273" w:hanging="855"/>
      </w:pPr>
      <w:r>
        <w:rPr/>
        <w:t>Rasyid, Ryaas. (2007). “Otonomi Daerah: Latar Belakang dan Masa Depannya”. Desentralisasi &amp; Otonomi Daerah. Jakarta. LIPI </w:t>
      </w:r>
      <w:r>
        <w:rPr>
          <w:spacing w:val="-2"/>
        </w:rPr>
        <w:t>Press.</w:t>
      </w:r>
    </w:p>
    <w:p>
      <w:pPr>
        <w:pStyle w:val="BodyText"/>
        <w:spacing w:before="238"/>
        <w:ind w:left="1421" w:right="1258" w:hanging="855"/>
      </w:pPr>
      <w:r>
        <w:rPr/>
        <w:t>Risal,</w:t>
      </w:r>
      <w:r>
        <w:rPr>
          <w:spacing w:val="-9"/>
        </w:rPr>
        <w:t> </w:t>
      </w:r>
      <w:r>
        <w:rPr/>
        <w:t>M.</w:t>
      </w:r>
      <w:r>
        <w:rPr>
          <w:spacing w:val="-8"/>
        </w:rPr>
        <w:t> </w:t>
      </w:r>
      <w:r>
        <w:rPr/>
        <w:t>(2015).</w:t>
      </w:r>
      <w:r>
        <w:rPr>
          <w:spacing w:val="-8"/>
        </w:rPr>
        <w:t> </w:t>
      </w:r>
      <w:r>
        <w:rPr/>
        <w:t>Multinational</w:t>
      </w:r>
      <w:r>
        <w:rPr>
          <w:spacing w:val="-9"/>
        </w:rPr>
        <w:t> </w:t>
      </w:r>
      <w:r>
        <w:rPr/>
        <w:t>Corporations</w:t>
      </w:r>
      <w:r>
        <w:rPr>
          <w:spacing w:val="-9"/>
        </w:rPr>
        <w:t> </w:t>
      </w:r>
      <w:r>
        <w:rPr/>
        <w:t>(MNC)</w:t>
      </w:r>
      <w:r>
        <w:rPr>
          <w:spacing w:val="-9"/>
        </w:rPr>
        <w:t> </w:t>
      </w:r>
      <w:r>
        <w:rPr/>
        <w:t>Perkebunan</w:t>
      </w:r>
      <w:r>
        <w:rPr>
          <w:spacing w:val="-9"/>
        </w:rPr>
        <w:t> </w:t>
      </w:r>
      <w:r>
        <w:rPr/>
        <w:t>Kelapa Sawit. </w:t>
      </w:r>
      <w:r>
        <w:rPr>
          <w:i/>
        </w:rPr>
        <w:t>Jurnal Interdependence</w:t>
      </w:r>
      <w:r>
        <w:rPr/>
        <w:t>, </w:t>
      </w:r>
      <w:r>
        <w:rPr>
          <w:i/>
        </w:rPr>
        <w:t>3</w:t>
      </w:r>
      <w:r>
        <w:rPr/>
        <w:t>(1), 1–14. </w:t>
      </w:r>
      <w:hyperlink r:id="rId32">
        <w:r>
          <w:rPr>
            <w:spacing w:val="-2"/>
          </w:rPr>
          <w:t>www.kaltimprov.go.id,</w:t>
        </w:r>
      </w:hyperlink>
    </w:p>
    <w:p>
      <w:pPr>
        <w:pStyle w:val="BodyText"/>
        <w:spacing w:after="0"/>
        <w:sectPr>
          <w:pgSz w:w="11910" w:h="16840"/>
          <w:pgMar w:header="0" w:footer="1186" w:top="1580" w:bottom="1380" w:left="1700" w:right="992"/>
        </w:sectPr>
      </w:pPr>
    </w:p>
    <w:p>
      <w:pPr>
        <w:pStyle w:val="BodyText"/>
        <w:spacing w:before="82"/>
        <w:ind w:left="1421" w:right="1272" w:hanging="855"/>
      </w:pPr>
      <w:r>
        <w:rPr/>
        <w:t>Rondinelli, Dennis A. (1983). Implementing Decentralization Programmes in Asia; A Comparative Analysis. https://doi.org/10.1002/ pad.4230030302.</w:t>
      </w:r>
    </w:p>
    <w:p>
      <w:pPr>
        <w:pStyle w:val="BodyText"/>
        <w:spacing w:line="237" w:lineRule="auto" w:before="245"/>
        <w:ind w:left="1431" w:right="1281" w:hanging="850"/>
      </w:pPr>
      <w:r>
        <w:rPr/>
        <w:t>Safa’at,</w:t>
      </w:r>
      <w:r>
        <w:rPr>
          <w:spacing w:val="-8"/>
        </w:rPr>
        <w:t> </w:t>
      </w:r>
      <w:r>
        <w:rPr/>
        <w:t>Muchamad</w:t>
      </w:r>
      <w:r>
        <w:rPr>
          <w:spacing w:val="-11"/>
        </w:rPr>
        <w:t> </w:t>
      </w:r>
      <w:r>
        <w:rPr/>
        <w:t>Ali.</w:t>
      </w:r>
      <w:r>
        <w:rPr>
          <w:spacing w:val="-8"/>
        </w:rPr>
        <w:t> </w:t>
      </w:r>
      <w:r>
        <w:rPr/>
        <w:t>(2015).</w:t>
      </w:r>
      <w:r>
        <w:rPr>
          <w:spacing w:val="-9"/>
        </w:rPr>
        <w:t> </w:t>
      </w:r>
      <w:r>
        <w:rPr/>
        <w:t>Sentralisasi</w:t>
      </w:r>
      <w:r>
        <w:rPr>
          <w:spacing w:val="-9"/>
        </w:rPr>
        <w:t> </w:t>
      </w:r>
      <w:r>
        <w:rPr/>
        <w:t>dalam</w:t>
      </w:r>
      <w:r>
        <w:rPr>
          <w:spacing w:val="-9"/>
        </w:rPr>
        <w:t> </w:t>
      </w:r>
      <w:r>
        <w:rPr/>
        <w:t>UU</w:t>
      </w:r>
      <w:r>
        <w:rPr>
          <w:spacing w:val="-12"/>
        </w:rPr>
        <w:t> </w:t>
      </w:r>
      <w:r>
        <w:rPr/>
        <w:t>Nomor</w:t>
      </w:r>
      <w:r>
        <w:rPr>
          <w:spacing w:val="-11"/>
        </w:rPr>
        <w:t> </w:t>
      </w:r>
      <w:r>
        <w:rPr/>
        <w:t>23</w:t>
      </w:r>
      <w:r>
        <w:rPr>
          <w:spacing w:val="-10"/>
        </w:rPr>
        <w:t> </w:t>
      </w:r>
      <w:r>
        <w:rPr/>
        <w:t>Tahun 2014 tentang Pemerintahan Daerah. Sebuah makalah.</w:t>
      </w:r>
    </w:p>
    <w:p>
      <w:pPr>
        <w:pStyle w:val="BodyText"/>
        <w:spacing w:before="244"/>
        <w:ind w:left="1421" w:right="1264" w:hanging="855"/>
      </w:pPr>
      <w:r>
        <w:rPr/>
        <w:t>Salamony, Jetter Wilson. (2022). Tinjauan Perubahan Nomenklatur Kepala Daerah menjadi Kepala Otorita pada Ibu Kota Negara Indonesia (Studi Terhadap Undang-Undang Nomor 3 Tahun 2022</w:t>
      </w:r>
      <w:r>
        <w:rPr>
          <w:spacing w:val="-5"/>
        </w:rPr>
        <w:t> </w:t>
      </w:r>
      <w:r>
        <w:rPr/>
        <w:t>tentang</w:t>
      </w:r>
      <w:r>
        <w:rPr>
          <w:spacing w:val="-2"/>
        </w:rPr>
        <w:t> </w:t>
      </w:r>
      <w:r>
        <w:rPr/>
        <w:t>Ibu</w:t>
      </w:r>
      <w:r>
        <w:rPr>
          <w:spacing w:val="-6"/>
        </w:rPr>
        <w:t> </w:t>
      </w:r>
      <w:r>
        <w:rPr/>
        <w:t>Kota</w:t>
      </w:r>
      <w:r>
        <w:rPr>
          <w:spacing w:val="-7"/>
        </w:rPr>
        <w:t> </w:t>
      </w:r>
      <w:r>
        <w:rPr/>
        <w:t>Negara).</w:t>
      </w:r>
      <w:r>
        <w:rPr>
          <w:spacing w:val="-4"/>
        </w:rPr>
        <w:t> </w:t>
      </w:r>
      <w:r>
        <w:rPr/>
        <w:t>Jurnal</w:t>
      </w:r>
      <w:r>
        <w:rPr>
          <w:spacing w:val="-5"/>
        </w:rPr>
        <w:t> </w:t>
      </w:r>
      <w:r>
        <w:rPr/>
        <w:t>IKAMAKUM,</w:t>
      </w:r>
      <w:r>
        <w:rPr>
          <w:spacing w:val="-3"/>
        </w:rPr>
        <w:t> </w:t>
      </w:r>
      <w:r>
        <w:rPr/>
        <w:t>Vol.</w:t>
      </w:r>
      <w:r>
        <w:rPr>
          <w:spacing w:val="-5"/>
        </w:rPr>
        <w:t> </w:t>
      </w:r>
      <w:r>
        <w:rPr/>
        <w:t>2,</w:t>
      </w:r>
      <w:r>
        <w:rPr>
          <w:spacing w:val="-4"/>
        </w:rPr>
        <w:t> </w:t>
      </w:r>
      <w:r>
        <w:rPr/>
        <w:t>No. </w:t>
      </w:r>
      <w:r>
        <w:rPr>
          <w:spacing w:val="-6"/>
        </w:rPr>
        <w:t>1.</w:t>
      </w:r>
    </w:p>
    <w:p>
      <w:pPr>
        <w:pStyle w:val="BodyText"/>
        <w:spacing w:line="242" w:lineRule="auto" w:before="238"/>
        <w:ind w:left="993" w:right="1277" w:hanging="428"/>
      </w:pPr>
      <w:r>
        <w:rPr/>
        <w:t>Sekretariat Jenderal DPRRI, Regulatory Impact Assessment (Metode Analisis Dampak Regulasi),</w:t>
      </w:r>
      <w:r>
        <w:rPr>
          <w:spacing w:val="40"/>
        </w:rPr>
        <w:t> </w:t>
      </w:r>
      <w:r>
        <w:rPr/>
        <w:t>2008.</w:t>
      </w:r>
    </w:p>
    <w:p>
      <w:pPr>
        <w:pStyle w:val="BodyText"/>
        <w:spacing w:before="234"/>
        <w:ind w:left="1137" w:right="1263" w:hanging="567"/>
      </w:pPr>
      <w:r>
        <w:rPr/>
        <w:t>Seidman, Ann, Robert B. Seidman, and Nalin Abeysekere (2001). Penyusunan Rancangan Unsang-Undang dalam Perubahan Masyarakat yang Demokratis. Sebuah Panduan untuk Pembuat Rancangan Undang-Undang. Jakarta: ELIPS.</w:t>
      </w:r>
    </w:p>
    <w:p>
      <w:pPr>
        <w:pStyle w:val="BodyText"/>
        <w:spacing w:line="242" w:lineRule="auto" w:before="241"/>
        <w:ind w:left="1137" w:right="1268" w:hanging="567"/>
      </w:pPr>
      <w:r>
        <w:rPr/>
        <w:t>“Sekilas Sejarah Kab. Kutai Kartanegara”. (2023). </w:t>
      </w:r>
      <w:r>
        <w:rPr>
          <w:spacing w:val="-2"/>
        </w:rPr>
        <w:t>https://kukarkab.go.id/v2/selayang-pandang/sejarah.</w:t>
      </w:r>
    </w:p>
    <w:p>
      <w:pPr>
        <w:pStyle w:val="BodyText"/>
        <w:tabs>
          <w:tab w:pos="3557" w:val="left" w:leader="none"/>
          <w:tab w:pos="5709" w:val="left" w:leader="none"/>
          <w:tab w:pos="7500" w:val="left" w:leader="none"/>
        </w:tabs>
        <w:spacing w:before="233"/>
        <w:ind w:left="1137" w:right="1267" w:hanging="567"/>
      </w:pPr>
      <w:r>
        <w:rPr/>
        <w:t>Setyaningsih, W., Sriyono, S., &amp; Benardi, A. (2019). Kajian Kerusakan Lahan Di Daerah Aliran Sungai (Das) Kreo Akibat Pembangunan Pemukiman Di Sekitar Waduk Jatibarang Kota Semarang. </w:t>
      </w:r>
      <w:r>
        <w:rPr>
          <w:i/>
        </w:rPr>
        <w:t>Media </w:t>
      </w:r>
      <w:r>
        <w:rPr>
          <w:i/>
          <w:spacing w:val="-2"/>
        </w:rPr>
        <w:t>Komunikasi</w:t>
      </w:r>
      <w:r>
        <w:rPr>
          <w:i/>
        </w:rPr>
        <w:tab/>
      </w:r>
      <w:r>
        <w:rPr>
          <w:i/>
          <w:spacing w:val="-2"/>
        </w:rPr>
        <w:t>Geografi</w:t>
      </w:r>
      <w:r>
        <w:rPr>
          <w:spacing w:val="-2"/>
        </w:rPr>
        <w:t>,</w:t>
      </w:r>
      <w:r>
        <w:rPr/>
        <w:tab/>
      </w:r>
      <w:r>
        <w:rPr>
          <w:i/>
          <w:spacing w:val="-2"/>
        </w:rPr>
        <w:t>19</w:t>
      </w:r>
      <w:r>
        <w:rPr>
          <w:spacing w:val="-2"/>
        </w:rPr>
        <w:t>(2),</w:t>
      </w:r>
      <w:r>
        <w:rPr/>
        <w:tab/>
      </w:r>
      <w:r>
        <w:rPr>
          <w:spacing w:val="-4"/>
        </w:rPr>
        <w:t>177.</w:t>
      </w:r>
    </w:p>
    <w:p>
      <w:pPr>
        <w:pStyle w:val="BodyText"/>
        <w:spacing w:before="1"/>
        <w:ind w:left="1137"/>
        <w:jc w:val="left"/>
      </w:pPr>
      <w:r>
        <w:rPr>
          <w:spacing w:val="-2"/>
        </w:rPr>
        <w:t>https://doi.org/10.23887/mkg.v19i2.16027</w:t>
      </w:r>
    </w:p>
    <w:p>
      <w:pPr>
        <w:pStyle w:val="BodyText"/>
        <w:spacing w:line="242" w:lineRule="auto" w:before="237"/>
        <w:ind w:left="1421" w:right="1277" w:hanging="855"/>
      </w:pPr>
      <w:r>
        <w:rPr/>
        <w:t>Smith, B. C. (1985). Decentralization: The Territorial Dimension of the State. London: Allen &amp; Unwin.</w:t>
      </w:r>
    </w:p>
    <w:p>
      <w:pPr>
        <w:pStyle w:val="BodyText"/>
        <w:spacing w:line="318" w:lineRule="exact" w:before="239"/>
        <w:ind w:left="566"/>
      </w:pPr>
      <w:r>
        <w:rPr/>
        <w:t>Sudipa,</w:t>
      </w:r>
      <w:r>
        <w:rPr>
          <w:spacing w:val="5"/>
        </w:rPr>
        <w:t> </w:t>
      </w:r>
      <w:r>
        <w:rPr/>
        <w:t>N.,</w:t>
      </w:r>
      <w:r>
        <w:rPr>
          <w:spacing w:val="7"/>
        </w:rPr>
        <w:t> </w:t>
      </w:r>
      <w:r>
        <w:rPr/>
        <w:t>Sudiana</w:t>
      </w:r>
      <w:r>
        <w:rPr>
          <w:spacing w:val="4"/>
        </w:rPr>
        <w:t> </w:t>
      </w:r>
      <w:r>
        <w:rPr/>
        <w:t>Mahendra,</w:t>
      </w:r>
      <w:r>
        <w:rPr>
          <w:spacing w:val="7"/>
        </w:rPr>
        <w:t> </w:t>
      </w:r>
      <w:r>
        <w:rPr/>
        <w:t>M.,</w:t>
      </w:r>
      <w:r>
        <w:rPr>
          <w:spacing w:val="3"/>
        </w:rPr>
        <w:t> </w:t>
      </w:r>
      <w:r>
        <w:rPr/>
        <w:t>Sandi</w:t>
      </w:r>
      <w:r>
        <w:rPr>
          <w:spacing w:val="5"/>
        </w:rPr>
        <w:t> </w:t>
      </w:r>
      <w:r>
        <w:rPr/>
        <w:t>Adnyana,</w:t>
      </w:r>
      <w:r>
        <w:rPr>
          <w:spacing w:val="7"/>
        </w:rPr>
        <w:t> </w:t>
      </w:r>
      <w:r>
        <w:rPr/>
        <w:t>W.,</w:t>
      </w:r>
      <w:r>
        <w:rPr>
          <w:spacing w:val="7"/>
        </w:rPr>
        <w:t> </w:t>
      </w:r>
      <w:r>
        <w:rPr/>
        <w:t>&amp;</w:t>
      </w:r>
      <w:r>
        <w:rPr>
          <w:spacing w:val="7"/>
        </w:rPr>
        <w:t> </w:t>
      </w:r>
      <w:r>
        <w:rPr>
          <w:spacing w:val="-2"/>
        </w:rPr>
        <w:t>Pujaastawa,</w:t>
      </w:r>
    </w:p>
    <w:p>
      <w:pPr>
        <w:spacing w:line="240" w:lineRule="auto" w:before="0"/>
        <w:ind w:left="1421" w:right="1259" w:firstLine="0"/>
        <w:jc w:val="both"/>
        <w:rPr>
          <w:sz w:val="24"/>
        </w:rPr>
      </w:pPr>
      <w:r>
        <w:rPr>
          <w:sz w:val="24"/>
        </w:rPr>
        <w:t>I. B. (2020). Model Pengelolaan Lingkungan Di Kawasan Pariwisata Nusa Penida, Bali. </w:t>
      </w:r>
      <w:r>
        <w:rPr>
          <w:i/>
          <w:sz w:val="24"/>
        </w:rPr>
        <w:t>ECOTROPHIC : Jurnal Ilmu Lingkungan</w:t>
      </w:r>
      <w:r>
        <w:rPr>
          <w:i/>
          <w:spacing w:val="80"/>
          <w:sz w:val="24"/>
        </w:rPr>
        <w:t> </w:t>
      </w:r>
      <w:r>
        <w:rPr>
          <w:i/>
          <w:sz w:val="24"/>
        </w:rPr>
        <w:t>(Journal</w:t>
      </w:r>
      <w:r>
        <w:rPr>
          <w:i/>
          <w:spacing w:val="80"/>
          <w:sz w:val="24"/>
        </w:rPr>
        <w:t> </w:t>
      </w:r>
      <w:r>
        <w:rPr>
          <w:i/>
          <w:sz w:val="24"/>
        </w:rPr>
        <w:t>of</w:t>
      </w:r>
      <w:r>
        <w:rPr>
          <w:i/>
          <w:spacing w:val="80"/>
          <w:sz w:val="24"/>
        </w:rPr>
        <w:t> </w:t>
      </w:r>
      <w:r>
        <w:rPr>
          <w:i/>
          <w:sz w:val="24"/>
        </w:rPr>
        <w:t>Environmental</w:t>
      </w:r>
      <w:r>
        <w:rPr>
          <w:i/>
          <w:spacing w:val="80"/>
          <w:sz w:val="24"/>
        </w:rPr>
        <w:t> </w:t>
      </w:r>
      <w:r>
        <w:rPr>
          <w:i/>
          <w:sz w:val="24"/>
        </w:rPr>
        <w:t>Science)</w:t>
      </w:r>
      <w:r>
        <w:rPr>
          <w:sz w:val="24"/>
        </w:rPr>
        <w:t>,</w:t>
      </w:r>
      <w:r>
        <w:rPr>
          <w:spacing w:val="80"/>
          <w:sz w:val="24"/>
        </w:rPr>
        <w:t> </w:t>
      </w:r>
      <w:r>
        <w:rPr>
          <w:i/>
          <w:sz w:val="24"/>
        </w:rPr>
        <w:t>14</w:t>
      </w:r>
      <w:r>
        <w:rPr>
          <w:sz w:val="24"/>
        </w:rPr>
        <w:t>(1),</w:t>
      </w:r>
      <w:r>
        <w:rPr>
          <w:spacing w:val="80"/>
          <w:sz w:val="24"/>
        </w:rPr>
        <w:t> </w:t>
      </w:r>
      <w:r>
        <w:rPr>
          <w:sz w:val="24"/>
        </w:rPr>
        <w:t>1.</w:t>
      </w:r>
    </w:p>
    <w:p>
      <w:pPr>
        <w:pStyle w:val="BodyText"/>
        <w:spacing w:before="2"/>
        <w:ind w:left="1421"/>
        <w:jc w:val="left"/>
      </w:pPr>
      <w:r>
        <w:rPr>
          <w:spacing w:val="-2"/>
        </w:rPr>
        <w:t>https://doi.org/10.24843/ejes.2020.v14.i01.p01</w:t>
      </w:r>
    </w:p>
    <w:p>
      <w:pPr>
        <w:pStyle w:val="BodyText"/>
        <w:spacing w:before="237"/>
        <w:ind w:left="1421" w:right="1272" w:hanging="855"/>
      </w:pPr>
      <w:r>
        <w:rPr/>
        <w:t>Tillin, Louise. (2006). “United in Diversity? Asymmetry in Indian Federalism”, in Publius: TheJournal of Federalism, Volume 37 Number 1. Oxford University Press.</w:t>
      </w:r>
    </w:p>
    <w:p>
      <w:pPr>
        <w:pStyle w:val="BodyText"/>
        <w:spacing w:after="0"/>
        <w:sectPr>
          <w:pgSz w:w="11910" w:h="16840"/>
          <w:pgMar w:header="0" w:footer="1186" w:top="1580" w:bottom="1380" w:left="1700" w:right="992"/>
        </w:sectPr>
      </w:pPr>
    </w:p>
    <w:p>
      <w:pPr>
        <w:pStyle w:val="BodyText"/>
        <w:spacing w:before="82"/>
        <w:ind w:left="1421" w:right="1263" w:hanging="855"/>
      </w:pPr>
      <w:r>
        <w:rPr/>
        <w:t>Tobler, W., &amp; Chen, Z. ‐t. (1986). A Quadtree for Global Information Storage. </w:t>
      </w:r>
      <w:r>
        <w:rPr>
          <w:i/>
        </w:rPr>
        <w:t>Geographical Analysis</w:t>
      </w:r>
      <w:r>
        <w:rPr/>
        <w:t>, </w:t>
      </w:r>
      <w:r>
        <w:rPr>
          <w:i/>
        </w:rPr>
        <w:t>18</w:t>
      </w:r>
      <w:r>
        <w:rPr/>
        <w:t>(4), 360–371. </w:t>
      </w:r>
      <w:r>
        <w:rPr>
          <w:spacing w:val="-2"/>
        </w:rPr>
        <w:t>https://doi.org/10.1111/j.1538-4632.1986.tb00108.x</w:t>
      </w:r>
    </w:p>
    <w:p>
      <w:pPr>
        <w:pStyle w:val="BodyText"/>
        <w:spacing w:before="243"/>
        <w:ind w:left="1421" w:right="1271" w:hanging="855"/>
      </w:pPr>
      <w:r>
        <w:rPr/>
        <w:t>Turner, Mark and David Hulme. (1997). Governance, Administration and</w:t>
      </w:r>
      <w:r>
        <w:rPr>
          <w:spacing w:val="-17"/>
        </w:rPr>
        <w:t> </w:t>
      </w:r>
      <w:r>
        <w:rPr/>
        <w:t>Development:</w:t>
      </w:r>
      <w:r>
        <w:rPr>
          <w:spacing w:val="-16"/>
        </w:rPr>
        <w:t> </w:t>
      </w:r>
      <w:r>
        <w:rPr/>
        <w:t>Making</w:t>
      </w:r>
      <w:r>
        <w:rPr>
          <w:spacing w:val="-17"/>
        </w:rPr>
        <w:t> </w:t>
      </w:r>
      <w:r>
        <w:rPr/>
        <w:t>The</w:t>
      </w:r>
      <w:r>
        <w:rPr>
          <w:spacing w:val="-16"/>
        </w:rPr>
        <w:t> </w:t>
      </w:r>
      <w:r>
        <w:rPr/>
        <w:t>State</w:t>
      </w:r>
      <w:r>
        <w:rPr>
          <w:spacing w:val="-17"/>
        </w:rPr>
        <w:t> </w:t>
      </w:r>
      <w:r>
        <w:rPr/>
        <w:t>Work,</w:t>
      </w:r>
      <w:r>
        <w:rPr>
          <w:spacing w:val="-16"/>
        </w:rPr>
        <w:t> </w:t>
      </w:r>
      <w:r>
        <w:rPr/>
        <w:t>London:</w:t>
      </w:r>
      <w:r>
        <w:rPr>
          <w:spacing w:val="-17"/>
        </w:rPr>
        <w:t> </w:t>
      </w:r>
      <w:r>
        <w:rPr/>
        <w:t>MacMillan Press Ltd</w:t>
      </w:r>
    </w:p>
    <w:p>
      <w:pPr>
        <w:pStyle w:val="BodyText"/>
        <w:spacing w:before="238"/>
        <w:ind w:left="1421" w:right="1267" w:hanging="855"/>
      </w:pPr>
      <w:r>
        <w:rPr/>
        <w:t>Tzampoglou,</w:t>
      </w:r>
      <w:r>
        <w:rPr>
          <w:spacing w:val="-3"/>
        </w:rPr>
        <w:t> </w:t>
      </w:r>
      <w:r>
        <w:rPr/>
        <w:t>P.,</w:t>
      </w:r>
      <w:r>
        <w:rPr>
          <w:spacing w:val="-2"/>
        </w:rPr>
        <w:t> </w:t>
      </w:r>
      <w:r>
        <w:rPr/>
        <w:t>Ilia,</w:t>
      </w:r>
      <w:r>
        <w:rPr>
          <w:spacing w:val="-3"/>
        </w:rPr>
        <w:t> </w:t>
      </w:r>
      <w:r>
        <w:rPr/>
        <w:t>I.,</w:t>
      </w:r>
      <w:r>
        <w:rPr>
          <w:spacing w:val="-2"/>
        </w:rPr>
        <w:t> </w:t>
      </w:r>
      <w:r>
        <w:rPr/>
        <w:t>Karalis,</w:t>
      </w:r>
      <w:r>
        <w:rPr>
          <w:spacing w:val="-3"/>
        </w:rPr>
        <w:t> </w:t>
      </w:r>
      <w:r>
        <w:rPr/>
        <w:t>K.,</w:t>
      </w:r>
      <w:r>
        <w:rPr>
          <w:spacing w:val="-2"/>
        </w:rPr>
        <w:t> </w:t>
      </w:r>
      <w:r>
        <w:rPr/>
        <w:t>Tsangaratos, P.,</w:t>
      </w:r>
      <w:r>
        <w:rPr>
          <w:spacing w:val="-2"/>
        </w:rPr>
        <w:t> </w:t>
      </w:r>
      <w:r>
        <w:rPr/>
        <w:t>Zhao,</w:t>
      </w:r>
      <w:r>
        <w:rPr>
          <w:spacing w:val="-3"/>
        </w:rPr>
        <w:t> </w:t>
      </w:r>
      <w:r>
        <w:rPr/>
        <w:t>X.,</w:t>
      </w:r>
      <w:r>
        <w:rPr>
          <w:spacing w:val="-2"/>
        </w:rPr>
        <w:t> </w:t>
      </w:r>
      <w:r>
        <w:rPr/>
        <w:t>&amp;</w:t>
      </w:r>
      <w:r>
        <w:rPr>
          <w:spacing w:val="-3"/>
        </w:rPr>
        <w:t> </w:t>
      </w:r>
      <w:r>
        <w:rPr/>
        <w:t>Chen,</w:t>
      </w:r>
      <w:r>
        <w:rPr>
          <w:spacing w:val="-3"/>
        </w:rPr>
        <w:t> </w:t>
      </w:r>
      <w:r>
        <w:rPr/>
        <w:t>W. (2023). Selected Worldwide Cases of Land Subsidence Due to Groundwater Withdrawal. </w:t>
      </w:r>
      <w:r>
        <w:rPr>
          <w:i/>
        </w:rPr>
        <w:t>Water (Switzerland)</w:t>
      </w:r>
      <w:r>
        <w:rPr/>
        <w:t>, </w:t>
      </w:r>
      <w:r>
        <w:rPr>
          <w:i/>
        </w:rPr>
        <w:t>15</w:t>
      </w:r>
      <w:r>
        <w:rPr/>
        <w:t>(6). </w:t>
      </w:r>
      <w:r>
        <w:rPr>
          <w:spacing w:val="-2"/>
        </w:rPr>
        <w:t>https://doi.org/10.3390/w15061094</w:t>
      </w:r>
    </w:p>
    <w:p>
      <w:pPr>
        <w:pStyle w:val="BodyText"/>
        <w:spacing w:before="240"/>
        <w:ind w:left="1421" w:right="1271" w:hanging="855"/>
      </w:pPr>
      <w:r>
        <w:rPr/>
        <w:t>Undang-Undang Nomor 21 Tahun 2023 tentang Perubahan atas Undang-Undang Nomor 3 Tahun 2022 tentang Ibu Kota </w:t>
      </w:r>
      <w:r>
        <w:rPr>
          <w:spacing w:val="-2"/>
        </w:rPr>
        <w:t>Negara.</w:t>
      </w:r>
    </w:p>
    <w:p>
      <w:pPr>
        <w:pStyle w:val="BodyText"/>
        <w:spacing w:line="560" w:lineRule="atLeast" w:before="2"/>
        <w:ind w:left="566" w:right="1279"/>
      </w:pPr>
      <w:r>
        <w:rPr/>
        <w:t>Undang-Undang Nomor 3 Tahun 2022 tentang Ibu Kota Negara. Undang-Undang Nomor 1 Tahun 2022 tentang Hubungan Keuangan</w:t>
      </w:r>
    </w:p>
    <w:p>
      <w:pPr>
        <w:pStyle w:val="BodyText"/>
        <w:spacing w:before="9"/>
        <w:ind w:left="1421"/>
      </w:pPr>
      <w:r>
        <w:rPr/>
        <w:t>Pemerintah</w:t>
      </w:r>
      <w:r>
        <w:rPr>
          <w:spacing w:val="-10"/>
        </w:rPr>
        <w:t> </w:t>
      </w:r>
      <w:r>
        <w:rPr/>
        <w:t>Pusat</w:t>
      </w:r>
      <w:r>
        <w:rPr>
          <w:spacing w:val="-8"/>
        </w:rPr>
        <w:t> </w:t>
      </w:r>
      <w:r>
        <w:rPr/>
        <w:t>dan</w:t>
      </w:r>
      <w:r>
        <w:rPr>
          <w:spacing w:val="-10"/>
        </w:rPr>
        <w:t> </w:t>
      </w:r>
      <w:r>
        <w:rPr/>
        <w:t>Pemerintahan</w:t>
      </w:r>
      <w:r>
        <w:rPr>
          <w:spacing w:val="-8"/>
        </w:rPr>
        <w:t> </w:t>
      </w:r>
      <w:r>
        <w:rPr>
          <w:spacing w:val="-2"/>
        </w:rPr>
        <w:t>Daerah.</w:t>
      </w:r>
    </w:p>
    <w:p>
      <w:pPr>
        <w:pStyle w:val="BodyText"/>
        <w:spacing w:line="242" w:lineRule="auto" w:before="228"/>
        <w:ind w:left="1421" w:right="1271" w:hanging="855"/>
      </w:pPr>
      <w:r>
        <w:rPr/>
        <w:t>Undang-Undang Nomor 23 Tahun 2014 tentang Pemerintahan </w:t>
      </w:r>
      <w:r>
        <w:rPr>
          <w:spacing w:val="-2"/>
        </w:rPr>
        <w:t>Daerah.</w:t>
      </w:r>
    </w:p>
    <w:p>
      <w:pPr>
        <w:pStyle w:val="BodyText"/>
        <w:tabs>
          <w:tab w:pos="4436" w:val="left" w:leader="none"/>
          <w:tab w:pos="6991" w:val="left" w:leader="none"/>
        </w:tabs>
        <w:spacing w:before="234"/>
        <w:ind w:left="1421" w:right="1264" w:hanging="855"/>
      </w:pPr>
      <w:r>
        <w:rPr/>
        <w:t>Utami, R., Kumala Putri, E. I., &amp; Ekayani, M. (2017). Economy and Environmental Impact of Oil Palm Palm Plantation Expansion (Case</w:t>
      </w:r>
      <w:r>
        <w:rPr>
          <w:spacing w:val="-12"/>
        </w:rPr>
        <w:t> </w:t>
      </w:r>
      <w:r>
        <w:rPr/>
        <w:t>Study:</w:t>
      </w:r>
      <w:r>
        <w:rPr>
          <w:spacing w:val="-9"/>
        </w:rPr>
        <w:t> </w:t>
      </w:r>
      <w:r>
        <w:rPr/>
        <w:t>Panyabungan</w:t>
      </w:r>
      <w:r>
        <w:rPr>
          <w:spacing w:val="-6"/>
        </w:rPr>
        <w:t> </w:t>
      </w:r>
      <w:r>
        <w:rPr/>
        <w:t>Village,</w:t>
      </w:r>
      <w:r>
        <w:rPr>
          <w:spacing w:val="-10"/>
        </w:rPr>
        <w:t> </w:t>
      </w:r>
      <w:r>
        <w:rPr/>
        <w:t>Merlung</w:t>
      </w:r>
      <w:r>
        <w:rPr>
          <w:spacing w:val="-13"/>
        </w:rPr>
        <w:t> </w:t>
      </w:r>
      <w:r>
        <w:rPr/>
        <w:t>Sub-District,</w:t>
      </w:r>
      <w:r>
        <w:rPr>
          <w:spacing w:val="-10"/>
        </w:rPr>
        <w:t> </w:t>
      </w:r>
      <w:r>
        <w:rPr/>
        <w:t>West Tanjung Jabung Barat District, Jambi). </w:t>
      </w:r>
      <w:r>
        <w:rPr>
          <w:i/>
        </w:rPr>
        <w:t>Jurnal Ilmu Pertanian </w:t>
      </w:r>
      <w:r>
        <w:rPr>
          <w:i/>
          <w:spacing w:val="-2"/>
        </w:rPr>
        <w:t>Indonesia</w:t>
      </w:r>
      <w:r>
        <w:rPr>
          <w:spacing w:val="-2"/>
        </w:rPr>
        <w:t>,</w:t>
      </w:r>
      <w:r>
        <w:rPr/>
        <w:tab/>
      </w:r>
      <w:r>
        <w:rPr>
          <w:i/>
          <w:spacing w:val="-2"/>
        </w:rPr>
        <w:t>22</w:t>
      </w:r>
      <w:r>
        <w:rPr>
          <w:spacing w:val="-2"/>
        </w:rPr>
        <w:t>(2),</w:t>
      </w:r>
      <w:r>
        <w:rPr/>
        <w:tab/>
      </w:r>
      <w:r>
        <w:rPr>
          <w:spacing w:val="-2"/>
        </w:rPr>
        <w:t>115–126. https://doi.org/10.18343/jipi.22.2.115</w:t>
      </w:r>
    </w:p>
    <w:p>
      <w:pPr>
        <w:pStyle w:val="BodyText"/>
        <w:spacing w:before="241"/>
        <w:ind w:left="1421" w:right="1271" w:hanging="855"/>
      </w:pPr>
      <w:r>
        <w:rPr/>
        <w:t>Utomo, W. Tri Widodo. (2009). Balancing Decentralization and Deconcentration: Emerging Need for Asymmetric Decentralization in the Unitary States. Japan: Nagoya </w:t>
      </w:r>
      <w:r>
        <w:rPr>
          <w:spacing w:val="-2"/>
        </w:rPr>
        <w:t>University</w:t>
      </w:r>
    </w:p>
    <w:p>
      <w:pPr>
        <w:pStyle w:val="BodyText"/>
        <w:spacing w:before="239"/>
        <w:ind w:left="1421" w:right="1274" w:hanging="855"/>
      </w:pPr>
      <w:r>
        <w:rPr/>
        <w:t>Wicaksono, Agung. (2019). Gubernur DKI Jakarta Dipilih Presiden: Sebuah Wacana yang Patut Dipertimbangkan. Jurnal PolGov, Vol. 1, No. 1. 26</w:t>
      </w:r>
    </w:p>
    <w:p>
      <w:pPr>
        <w:pStyle w:val="BodyText"/>
        <w:spacing w:before="243"/>
        <w:ind w:left="1421" w:right="1267" w:hanging="855"/>
      </w:pPr>
      <w:r>
        <w:rPr/>
        <w:t>Wignosubroto, Soetandyo. (2005). Pasang Surut Otonomi Daerah Sketsa Perjalanan 100 Tahun. Jakarta. Institute for Local Development, Yayasan Tifa.</w:t>
      </w:r>
    </w:p>
    <w:p>
      <w:pPr>
        <w:pStyle w:val="BodyText"/>
        <w:spacing w:after="0"/>
        <w:sectPr>
          <w:pgSz w:w="11910" w:h="16840"/>
          <w:pgMar w:header="0" w:footer="1186" w:top="1580" w:bottom="1380" w:left="1700" w:right="992"/>
        </w:sectPr>
      </w:pPr>
    </w:p>
    <w:p>
      <w:pPr>
        <w:pStyle w:val="BodyText"/>
        <w:spacing w:before="82"/>
        <w:ind w:left="1421" w:right="1262" w:hanging="855"/>
      </w:pPr>
      <w:r>
        <w:rPr/>
        <w:t>Wirosoedarmo, R., Haji, A. T. S., &amp; Zulfikar, F. (2015). Analysis of Land Use Change and Its Effect on Pollution in Brantas Upstream, Batu City, East Java Ruslan. </w:t>
      </w:r>
      <w:r>
        <w:rPr>
          <w:i/>
        </w:rPr>
        <w:t>Jurnal Sumberdaya Alam Dan Lingkungan 33</w:t>
      </w:r>
      <w:r>
        <w:rPr/>
        <w:t>, 33–39.</w:t>
      </w:r>
    </w:p>
    <w:p>
      <w:pPr>
        <w:pStyle w:val="BodyText"/>
        <w:spacing w:line="242" w:lineRule="auto" w:before="240"/>
        <w:ind w:left="1421" w:right="1278" w:hanging="855"/>
      </w:pPr>
      <w:r>
        <w:rPr/>
        <w:t>Yang, Kaifeng., Miller, Gerald. J,. Handbook of Research Methods in Public Administration. USA: CRC Press.</w:t>
      </w:r>
    </w:p>
    <w:p>
      <w:pPr>
        <w:pStyle w:val="BodyText"/>
        <w:spacing w:before="234"/>
        <w:ind w:left="1137" w:right="1267" w:hanging="567"/>
      </w:pPr>
      <w:r>
        <w:rPr/>
        <w:t>Yang, Kaifeng &amp; Miller, Gerald J. (2008). Handbook of Research Methods in Public Administration. New York: Taylor &amp; Francis </w:t>
      </w:r>
      <w:r>
        <w:rPr>
          <w:spacing w:val="-2"/>
        </w:rPr>
        <w:t>Group.</w:t>
      </w:r>
    </w:p>
    <w:sectPr>
      <w:pgSz w:w="11910" w:h="16840"/>
      <w:pgMar w:header="0" w:footer="1186" w:top="1580" w:bottom="1380" w:left="1700"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Lucida Sans Unicode">
    <w:altName w:val="Lucida Sans Unicode"/>
    <w:charset w:val="1"/>
    <w:family w:val="swiss"/>
    <w:pitch w:val="variable"/>
  </w:font>
  <w:font w:name="Segoe UI">
    <w:altName w:val="Segoe UI"/>
    <w:charset w:val="1"/>
    <w:family w:val="swiss"/>
    <w:pitch w:val="variable"/>
  </w:font>
  <w:font w:name="Symbol">
    <w:altName w:val="Symbol"/>
    <w:charset w:val="2"/>
    <w:family w:val="decorative"/>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jc w:val="left"/>
      <w:rPr>
        <w:sz w:val="20"/>
      </w:rPr>
    </w:pPr>
    <w:r>
      <w:rPr>
        <w:sz w:val="20"/>
      </w:rPr>
      <mc:AlternateContent>
        <mc:Choice Requires="wps">
          <w:drawing>
            <wp:anchor distT="0" distB="0" distL="0" distR="0" allowOverlap="1" layoutInCell="1" locked="0" behindDoc="1" simplePos="0" relativeHeight="485865984">
              <wp:simplePos x="0" y="0"/>
              <wp:positionH relativeFrom="page">
                <wp:posOffset>6264528</wp:posOffset>
              </wp:positionH>
              <wp:positionV relativeFrom="page">
                <wp:posOffset>9634052</wp:posOffset>
              </wp:positionV>
              <wp:extent cx="160655" cy="2286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655" cy="228600"/>
                      </a:xfrm>
                      <a:prstGeom prst="rect">
                        <a:avLst/>
                      </a:prstGeom>
                    </wps:spPr>
                    <wps:txbx>
                      <w:txbxContent>
                        <w:p>
                          <w:pPr>
                            <w:pStyle w:val="BodyText"/>
                            <w:spacing w:before="20"/>
                            <w:ind w:left="60"/>
                            <w:jc w:val="left"/>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3.269989pt;margin-top:758.586792pt;width:12.65pt;height:18pt;mso-position-horizontal-relative:page;mso-position-vertical-relative:page;z-index:-17450496" type="#_x0000_t202" id="docshape1" filled="false" stroked="false">
              <v:textbox inset="0,0,0,0">
                <w:txbxContent>
                  <w:p>
                    <w:pPr>
                      <w:pStyle w:val="BodyText"/>
                      <w:spacing w:before="20"/>
                      <w:ind w:left="60"/>
                      <w:jc w:val="left"/>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jc w:val="left"/>
      <w:rPr>
        <w:sz w:val="20"/>
      </w:rPr>
    </w:pPr>
    <w:r>
      <w:rPr>
        <w:sz w:val="20"/>
      </w:rPr>
      <mc:AlternateContent>
        <mc:Choice Requires="wps">
          <w:drawing>
            <wp:anchor distT="0" distB="0" distL="0" distR="0" allowOverlap="1" layoutInCell="1" locked="0" behindDoc="1" simplePos="0" relativeHeight="485866496">
              <wp:simplePos x="0" y="0"/>
              <wp:positionH relativeFrom="page">
                <wp:posOffset>6218809</wp:posOffset>
              </wp:positionH>
              <wp:positionV relativeFrom="page">
                <wp:posOffset>9799591</wp:posOffset>
              </wp:positionV>
              <wp:extent cx="297815" cy="1778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97815" cy="177800"/>
                      </a:xfrm>
                      <a:prstGeom prst="rect">
                        <a:avLst/>
                      </a:prstGeom>
                    </wps:spPr>
                    <wps:txbx>
                      <w:txbxContent>
                        <w:p>
                          <w:pPr>
                            <w:pStyle w:val="BodyText"/>
                            <w:spacing w:line="280" w:lineRule="exact"/>
                            <w:ind w:left="60"/>
                            <w:jc w:val="left"/>
                            <w:rPr>
                              <w:rFonts w:ascii="Lucida Sans Unicode"/>
                            </w:rPr>
                          </w:pPr>
                          <w:r>
                            <w:rPr>
                              <w:rFonts w:ascii="Lucida Sans Unicode"/>
                              <w:spacing w:val="-5"/>
                              <w:w w:val="85"/>
                            </w:rPr>
                            <w:fldChar w:fldCharType="begin"/>
                          </w:r>
                          <w:r>
                            <w:rPr>
                              <w:rFonts w:ascii="Lucida Sans Unicode"/>
                              <w:spacing w:val="-5"/>
                              <w:w w:val="85"/>
                            </w:rPr>
                            <w:instrText> PAGE </w:instrText>
                          </w:r>
                          <w:r>
                            <w:rPr>
                              <w:rFonts w:ascii="Lucida Sans Unicode"/>
                              <w:spacing w:val="-5"/>
                              <w:w w:val="85"/>
                            </w:rPr>
                            <w:fldChar w:fldCharType="separate"/>
                          </w:r>
                          <w:r>
                            <w:rPr>
                              <w:rFonts w:ascii="Lucida Sans Unicode"/>
                              <w:spacing w:val="-5"/>
                              <w:w w:val="85"/>
                            </w:rPr>
                            <w:t>100</w:t>
                          </w:r>
                          <w:r>
                            <w:rPr>
                              <w:rFonts w:ascii="Lucida Sans Unicode"/>
                              <w:spacing w:val="-5"/>
                              <w:w w:val="85"/>
                            </w:rPr>
                            <w:fldChar w:fldCharType="end"/>
                          </w:r>
                        </w:p>
                      </w:txbxContent>
                    </wps:txbx>
                    <wps:bodyPr wrap="square" lIns="0" tIns="0" rIns="0" bIns="0" rtlCol="0">
                      <a:noAutofit/>
                    </wps:bodyPr>
                  </wps:wsp>
                </a:graphicData>
              </a:graphic>
            </wp:anchor>
          </w:drawing>
        </mc:Choice>
        <mc:Fallback>
          <w:pict>
            <v:shape style="position:absolute;margin-left:489.670013pt;margin-top:771.621399pt;width:23.45pt;height:14pt;mso-position-horizontal-relative:page;mso-position-vertical-relative:page;z-index:-17449984" type="#_x0000_t202" id="docshape2" filled="false" stroked="false">
              <v:textbox inset="0,0,0,0">
                <w:txbxContent>
                  <w:p>
                    <w:pPr>
                      <w:pStyle w:val="BodyText"/>
                      <w:spacing w:line="280" w:lineRule="exact"/>
                      <w:ind w:left="60"/>
                      <w:jc w:val="left"/>
                      <w:rPr>
                        <w:rFonts w:ascii="Lucida Sans Unicode"/>
                      </w:rPr>
                    </w:pPr>
                    <w:r>
                      <w:rPr>
                        <w:rFonts w:ascii="Lucida Sans Unicode"/>
                        <w:spacing w:val="-5"/>
                        <w:w w:val="85"/>
                      </w:rPr>
                      <w:fldChar w:fldCharType="begin"/>
                    </w:r>
                    <w:r>
                      <w:rPr>
                        <w:rFonts w:ascii="Lucida Sans Unicode"/>
                        <w:spacing w:val="-5"/>
                        <w:w w:val="85"/>
                      </w:rPr>
                      <w:instrText> PAGE </w:instrText>
                    </w:r>
                    <w:r>
                      <w:rPr>
                        <w:rFonts w:ascii="Lucida Sans Unicode"/>
                        <w:spacing w:val="-5"/>
                        <w:w w:val="85"/>
                      </w:rPr>
                      <w:fldChar w:fldCharType="separate"/>
                    </w:r>
                    <w:r>
                      <w:rPr>
                        <w:rFonts w:ascii="Lucida Sans Unicode"/>
                        <w:spacing w:val="-5"/>
                        <w:w w:val="85"/>
                      </w:rPr>
                      <w:t>100</w:t>
                    </w:r>
                    <w:r>
                      <w:rPr>
                        <w:rFonts w:ascii="Lucida Sans Unicode"/>
                        <w:spacing w:val="-5"/>
                        <w:w w:val="8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1848" w:hanging="360"/>
        <w:jc w:val="right"/>
      </w:pPr>
      <w:rPr>
        <w:rFonts w:hint="default"/>
        <w:spacing w:val="-2"/>
        <w:w w:val="100"/>
        <w:lang w:val="id" w:eastAsia="en-US" w:bidi="ar-SA"/>
      </w:rPr>
    </w:lvl>
    <w:lvl w:ilvl="1">
      <w:start w:val="3"/>
      <w:numFmt w:val="decimal"/>
      <w:lvlText w:val="(%2)"/>
      <w:lvlJc w:val="left"/>
      <w:pPr>
        <w:ind w:left="1843" w:hanging="471"/>
        <w:jc w:val="left"/>
      </w:pPr>
      <w:rPr>
        <w:rFonts w:hint="default"/>
        <w:spacing w:val="0"/>
        <w:w w:val="100"/>
        <w:lang w:val="id" w:eastAsia="en-US" w:bidi="ar-SA"/>
      </w:rPr>
    </w:lvl>
    <w:lvl w:ilvl="2">
      <w:start w:val="1"/>
      <w:numFmt w:val="decimal"/>
      <w:lvlText w:val="(%3)"/>
      <w:lvlJc w:val="left"/>
      <w:pPr>
        <w:ind w:left="2131" w:hanging="360"/>
        <w:jc w:val="left"/>
      </w:pPr>
      <w:rPr>
        <w:rFonts w:hint="default" w:ascii="Segoe UI" w:hAnsi="Segoe UI" w:eastAsia="Segoe UI" w:cs="Segoe UI"/>
        <w:b/>
        <w:bCs/>
        <w:i w:val="0"/>
        <w:iCs w:val="0"/>
        <w:spacing w:val="-3"/>
        <w:w w:val="100"/>
        <w:sz w:val="24"/>
        <w:szCs w:val="24"/>
        <w:lang w:val="id" w:eastAsia="en-US" w:bidi="ar-SA"/>
      </w:rPr>
    </w:lvl>
    <w:lvl w:ilvl="3">
      <w:start w:val="0"/>
      <w:numFmt w:val="bullet"/>
      <w:lvlText w:val="•"/>
      <w:lvlJc w:val="left"/>
      <w:pPr>
        <w:ind w:left="3712" w:hanging="360"/>
      </w:pPr>
      <w:rPr>
        <w:rFonts w:hint="default"/>
        <w:lang w:val="id" w:eastAsia="en-US" w:bidi="ar-SA"/>
      </w:rPr>
    </w:lvl>
    <w:lvl w:ilvl="4">
      <w:start w:val="0"/>
      <w:numFmt w:val="bullet"/>
      <w:lvlText w:val="•"/>
      <w:lvlJc w:val="left"/>
      <w:pPr>
        <w:ind w:left="4498" w:hanging="360"/>
      </w:pPr>
      <w:rPr>
        <w:rFonts w:hint="default"/>
        <w:lang w:val="id" w:eastAsia="en-US" w:bidi="ar-SA"/>
      </w:rPr>
    </w:lvl>
    <w:lvl w:ilvl="5">
      <w:start w:val="0"/>
      <w:numFmt w:val="bullet"/>
      <w:lvlText w:val="•"/>
      <w:lvlJc w:val="left"/>
      <w:pPr>
        <w:ind w:left="5285" w:hanging="360"/>
      </w:pPr>
      <w:rPr>
        <w:rFonts w:hint="default"/>
        <w:lang w:val="id" w:eastAsia="en-US" w:bidi="ar-SA"/>
      </w:rPr>
    </w:lvl>
    <w:lvl w:ilvl="6">
      <w:start w:val="0"/>
      <w:numFmt w:val="bullet"/>
      <w:lvlText w:val="•"/>
      <w:lvlJc w:val="left"/>
      <w:pPr>
        <w:ind w:left="6071" w:hanging="360"/>
      </w:pPr>
      <w:rPr>
        <w:rFonts w:hint="default"/>
        <w:lang w:val="id" w:eastAsia="en-US" w:bidi="ar-SA"/>
      </w:rPr>
    </w:lvl>
    <w:lvl w:ilvl="7">
      <w:start w:val="0"/>
      <w:numFmt w:val="bullet"/>
      <w:lvlText w:val="•"/>
      <w:lvlJc w:val="left"/>
      <w:pPr>
        <w:ind w:left="6857" w:hanging="360"/>
      </w:pPr>
      <w:rPr>
        <w:rFonts w:hint="default"/>
        <w:lang w:val="id" w:eastAsia="en-US" w:bidi="ar-SA"/>
      </w:rPr>
    </w:lvl>
    <w:lvl w:ilvl="8">
      <w:start w:val="0"/>
      <w:numFmt w:val="bullet"/>
      <w:lvlText w:val="•"/>
      <w:lvlJc w:val="left"/>
      <w:pPr>
        <w:ind w:left="7644" w:hanging="360"/>
      </w:pPr>
      <w:rPr>
        <w:rFonts w:hint="default"/>
        <w:lang w:val="id" w:eastAsia="en-US" w:bidi="ar-SA"/>
      </w:rPr>
    </w:lvl>
  </w:abstractNum>
  <w:abstractNum w:abstractNumId="35">
    <w:multiLevelType w:val="hybridMultilevel"/>
    <w:lvl w:ilvl="0">
      <w:start w:val="6"/>
      <w:numFmt w:val="decimal"/>
      <w:lvlText w:val="%1"/>
      <w:lvlJc w:val="left"/>
      <w:pPr>
        <w:ind w:left="979" w:hanging="413"/>
        <w:jc w:val="left"/>
      </w:pPr>
      <w:rPr>
        <w:rFonts w:hint="default"/>
        <w:lang w:val="id" w:eastAsia="en-US" w:bidi="ar-SA"/>
      </w:rPr>
    </w:lvl>
    <w:lvl w:ilvl="1">
      <w:start w:val="1"/>
      <w:numFmt w:val="decimal"/>
      <w:lvlText w:val="%1.%2"/>
      <w:lvlJc w:val="left"/>
      <w:pPr>
        <w:ind w:left="979" w:hanging="413"/>
        <w:jc w:val="left"/>
      </w:pPr>
      <w:rPr>
        <w:rFonts w:hint="default" w:ascii="Segoe UI" w:hAnsi="Segoe UI" w:eastAsia="Segoe UI" w:cs="Segoe UI"/>
        <w:b/>
        <w:bCs/>
        <w:i w:val="0"/>
        <w:iCs w:val="0"/>
        <w:spacing w:val="-3"/>
        <w:w w:val="100"/>
        <w:sz w:val="24"/>
        <w:szCs w:val="24"/>
        <w:lang w:val="id" w:eastAsia="en-US" w:bidi="ar-SA"/>
      </w:rPr>
    </w:lvl>
    <w:lvl w:ilvl="2">
      <w:start w:val="1"/>
      <w:numFmt w:val="decimal"/>
      <w:lvlText w:val="%3."/>
      <w:lvlJc w:val="left"/>
      <w:pPr>
        <w:ind w:left="1277" w:hanging="284"/>
        <w:jc w:val="left"/>
      </w:pPr>
      <w:rPr>
        <w:rFonts w:hint="default" w:ascii="Segoe UI" w:hAnsi="Segoe UI" w:eastAsia="Segoe UI" w:cs="Segoe UI"/>
        <w:b w:val="0"/>
        <w:bCs w:val="0"/>
        <w:i w:val="0"/>
        <w:iCs w:val="0"/>
        <w:spacing w:val="0"/>
        <w:w w:val="100"/>
        <w:sz w:val="24"/>
        <w:szCs w:val="24"/>
        <w:lang w:val="id" w:eastAsia="en-US" w:bidi="ar-SA"/>
      </w:rPr>
    </w:lvl>
    <w:lvl w:ilvl="3">
      <w:start w:val="1"/>
      <w:numFmt w:val="lowerLetter"/>
      <w:lvlText w:val="%4."/>
      <w:lvlJc w:val="left"/>
      <w:pPr>
        <w:ind w:left="2074" w:hanging="360"/>
        <w:jc w:val="left"/>
      </w:pPr>
      <w:rPr>
        <w:rFonts w:hint="default" w:ascii="Segoe UI" w:hAnsi="Segoe UI" w:eastAsia="Segoe UI" w:cs="Segoe UI"/>
        <w:b w:val="0"/>
        <w:bCs w:val="0"/>
        <w:i w:val="0"/>
        <w:iCs w:val="0"/>
        <w:spacing w:val="-3"/>
        <w:w w:val="100"/>
        <w:sz w:val="24"/>
        <w:szCs w:val="24"/>
        <w:lang w:val="id" w:eastAsia="en-US" w:bidi="ar-SA"/>
      </w:rPr>
    </w:lvl>
    <w:lvl w:ilvl="4">
      <w:start w:val="0"/>
      <w:numFmt w:val="bullet"/>
      <w:lvlText w:val="•"/>
      <w:lvlJc w:val="left"/>
      <w:pPr>
        <w:ind w:left="3099" w:hanging="360"/>
      </w:pPr>
      <w:rPr>
        <w:rFonts w:hint="default"/>
        <w:lang w:val="id" w:eastAsia="en-US" w:bidi="ar-SA"/>
      </w:rPr>
    </w:lvl>
    <w:lvl w:ilvl="5">
      <w:start w:val="0"/>
      <w:numFmt w:val="bullet"/>
      <w:lvlText w:val="•"/>
      <w:lvlJc w:val="left"/>
      <w:pPr>
        <w:ind w:left="4119" w:hanging="360"/>
      </w:pPr>
      <w:rPr>
        <w:rFonts w:hint="default"/>
        <w:lang w:val="id" w:eastAsia="en-US" w:bidi="ar-SA"/>
      </w:rPr>
    </w:lvl>
    <w:lvl w:ilvl="6">
      <w:start w:val="0"/>
      <w:numFmt w:val="bullet"/>
      <w:lvlText w:val="•"/>
      <w:lvlJc w:val="left"/>
      <w:pPr>
        <w:ind w:left="5138" w:hanging="360"/>
      </w:pPr>
      <w:rPr>
        <w:rFonts w:hint="default"/>
        <w:lang w:val="id" w:eastAsia="en-US" w:bidi="ar-SA"/>
      </w:rPr>
    </w:lvl>
    <w:lvl w:ilvl="7">
      <w:start w:val="0"/>
      <w:numFmt w:val="bullet"/>
      <w:lvlText w:val="•"/>
      <w:lvlJc w:val="left"/>
      <w:pPr>
        <w:ind w:left="6158" w:hanging="360"/>
      </w:pPr>
      <w:rPr>
        <w:rFonts w:hint="default"/>
        <w:lang w:val="id" w:eastAsia="en-US" w:bidi="ar-SA"/>
      </w:rPr>
    </w:lvl>
    <w:lvl w:ilvl="8">
      <w:start w:val="0"/>
      <w:numFmt w:val="bullet"/>
      <w:lvlText w:val="•"/>
      <w:lvlJc w:val="left"/>
      <w:pPr>
        <w:ind w:left="7177" w:hanging="360"/>
      </w:pPr>
      <w:rPr>
        <w:rFonts w:hint="default"/>
        <w:lang w:val="id" w:eastAsia="en-US" w:bidi="ar-SA"/>
      </w:rPr>
    </w:lvl>
  </w:abstractNum>
  <w:abstractNum w:abstractNumId="34">
    <w:multiLevelType w:val="hybridMultilevel"/>
    <w:lvl w:ilvl="0">
      <w:start w:val="0"/>
      <w:numFmt w:val="bullet"/>
      <w:lvlText w:val=""/>
      <w:lvlJc w:val="left"/>
      <w:pPr>
        <w:ind w:left="1843" w:hanging="25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2577" w:hanging="250"/>
      </w:pPr>
      <w:rPr>
        <w:rFonts w:hint="default"/>
        <w:lang w:val="id" w:eastAsia="en-US" w:bidi="ar-SA"/>
      </w:rPr>
    </w:lvl>
    <w:lvl w:ilvl="2">
      <w:start w:val="0"/>
      <w:numFmt w:val="bullet"/>
      <w:lvlText w:val="•"/>
      <w:lvlJc w:val="left"/>
      <w:pPr>
        <w:ind w:left="3315" w:hanging="250"/>
      </w:pPr>
      <w:rPr>
        <w:rFonts w:hint="default"/>
        <w:lang w:val="id" w:eastAsia="en-US" w:bidi="ar-SA"/>
      </w:rPr>
    </w:lvl>
    <w:lvl w:ilvl="3">
      <w:start w:val="0"/>
      <w:numFmt w:val="bullet"/>
      <w:lvlText w:val="•"/>
      <w:lvlJc w:val="left"/>
      <w:pPr>
        <w:ind w:left="4053" w:hanging="250"/>
      </w:pPr>
      <w:rPr>
        <w:rFonts w:hint="default"/>
        <w:lang w:val="id" w:eastAsia="en-US" w:bidi="ar-SA"/>
      </w:rPr>
    </w:lvl>
    <w:lvl w:ilvl="4">
      <w:start w:val="0"/>
      <w:numFmt w:val="bullet"/>
      <w:lvlText w:val="•"/>
      <w:lvlJc w:val="left"/>
      <w:pPr>
        <w:ind w:left="4790" w:hanging="250"/>
      </w:pPr>
      <w:rPr>
        <w:rFonts w:hint="default"/>
        <w:lang w:val="id" w:eastAsia="en-US" w:bidi="ar-SA"/>
      </w:rPr>
    </w:lvl>
    <w:lvl w:ilvl="5">
      <w:start w:val="0"/>
      <w:numFmt w:val="bullet"/>
      <w:lvlText w:val="•"/>
      <w:lvlJc w:val="left"/>
      <w:pPr>
        <w:ind w:left="5528" w:hanging="250"/>
      </w:pPr>
      <w:rPr>
        <w:rFonts w:hint="default"/>
        <w:lang w:val="id" w:eastAsia="en-US" w:bidi="ar-SA"/>
      </w:rPr>
    </w:lvl>
    <w:lvl w:ilvl="6">
      <w:start w:val="0"/>
      <w:numFmt w:val="bullet"/>
      <w:lvlText w:val="•"/>
      <w:lvlJc w:val="left"/>
      <w:pPr>
        <w:ind w:left="6266" w:hanging="250"/>
      </w:pPr>
      <w:rPr>
        <w:rFonts w:hint="default"/>
        <w:lang w:val="id" w:eastAsia="en-US" w:bidi="ar-SA"/>
      </w:rPr>
    </w:lvl>
    <w:lvl w:ilvl="7">
      <w:start w:val="0"/>
      <w:numFmt w:val="bullet"/>
      <w:lvlText w:val="•"/>
      <w:lvlJc w:val="left"/>
      <w:pPr>
        <w:ind w:left="7003" w:hanging="250"/>
      </w:pPr>
      <w:rPr>
        <w:rFonts w:hint="default"/>
        <w:lang w:val="id" w:eastAsia="en-US" w:bidi="ar-SA"/>
      </w:rPr>
    </w:lvl>
    <w:lvl w:ilvl="8">
      <w:start w:val="0"/>
      <w:numFmt w:val="bullet"/>
      <w:lvlText w:val="•"/>
      <w:lvlJc w:val="left"/>
      <w:pPr>
        <w:ind w:left="7741" w:hanging="250"/>
      </w:pPr>
      <w:rPr>
        <w:rFonts w:hint="default"/>
        <w:lang w:val="id" w:eastAsia="en-US" w:bidi="ar-SA"/>
      </w:rPr>
    </w:lvl>
  </w:abstractNum>
  <w:abstractNum w:abstractNumId="33">
    <w:multiLevelType w:val="hybridMultilevel"/>
    <w:lvl w:ilvl="0">
      <w:start w:val="1"/>
      <w:numFmt w:val="decimal"/>
      <w:lvlText w:val="%1."/>
      <w:lvlJc w:val="left"/>
      <w:pPr>
        <w:ind w:left="1843" w:hanging="567"/>
        <w:jc w:val="left"/>
      </w:pPr>
      <w:rPr>
        <w:rFonts w:hint="default" w:ascii="Segoe UI" w:hAnsi="Segoe UI" w:eastAsia="Segoe UI" w:cs="Segoe UI"/>
        <w:b/>
        <w:bCs/>
        <w:i w:val="0"/>
        <w:iCs w:val="0"/>
        <w:spacing w:val="0"/>
        <w:w w:val="100"/>
        <w:sz w:val="24"/>
        <w:szCs w:val="24"/>
        <w:lang w:val="id" w:eastAsia="en-US" w:bidi="ar-SA"/>
      </w:rPr>
    </w:lvl>
    <w:lvl w:ilvl="1">
      <w:start w:val="0"/>
      <w:numFmt w:val="bullet"/>
      <w:lvlText w:val="•"/>
      <w:lvlJc w:val="left"/>
      <w:pPr>
        <w:ind w:left="2577" w:hanging="567"/>
      </w:pPr>
      <w:rPr>
        <w:rFonts w:hint="default"/>
        <w:lang w:val="id" w:eastAsia="en-US" w:bidi="ar-SA"/>
      </w:rPr>
    </w:lvl>
    <w:lvl w:ilvl="2">
      <w:start w:val="0"/>
      <w:numFmt w:val="bullet"/>
      <w:lvlText w:val="•"/>
      <w:lvlJc w:val="left"/>
      <w:pPr>
        <w:ind w:left="3315" w:hanging="567"/>
      </w:pPr>
      <w:rPr>
        <w:rFonts w:hint="default"/>
        <w:lang w:val="id" w:eastAsia="en-US" w:bidi="ar-SA"/>
      </w:rPr>
    </w:lvl>
    <w:lvl w:ilvl="3">
      <w:start w:val="0"/>
      <w:numFmt w:val="bullet"/>
      <w:lvlText w:val="•"/>
      <w:lvlJc w:val="left"/>
      <w:pPr>
        <w:ind w:left="4053" w:hanging="567"/>
      </w:pPr>
      <w:rPr>
        <w:rFonts w:hint="default"/>
        <w:lang w:val="id" w:eastAsia="en-US" w:bidi="ar-SA"/>
      </w:rPr>
    </w:lvl>
    <w:lvl w:ilvl="4">
      <w:start w:val="0"/>
      <w:numFmt w:val="bullet"/>
      <w:lvlText w:val="•"/>
      <w:lvlJc w:val="left"/>
      <w:pPr>
        <w:ind w:left="4790" w:hanging="567"/>
      </w:pPr>
      <w:rPr>
        <w:rFonts w:hint="default"/>
        <w:lang w:val="id" w:eastAsia="en-US" w:bidi="ar-SA"/>
      </w:rPr>
    </w:lvl>
    <w:lvl w:ilvl="5">
      <w:start w:val="0"/>
      <w:numFmt w:val="bullet"/>
      <w:lvlText w:val="•"/>
      <w:lvlJc w:val="left"/>
      <w:pPr>
        <w:ind w:left="5528" w:hanging="567"/>
      </w:pPr>
      <w:rPr>
        <w:rFonts w:hint="default"/>
        <w:lang w:val="id" w:eastAsia="en-US" w:bidi="ar-SA"/>
      </w:rPr>
    </w:lvl>
    <w:lvl w:ilvl="6">
      <w:start w:val="0"/>
      <w:numFmt w:val="bullet"/>
      <w:lvlText w:val="•"/>
      <w:lvlJc w:val="left"/>
      <w:pPr>
        <w:ind w:left="6266" w:hanging="567"/>
      </w:pPr>
      <w:rPr>
        <w:rFonts w:hint="default"/>
        <w:lang w:val="id" w:eastAsia="en-US" w:bidi="ar-SA"/>
      </w:rPr>
    </w:lvl>
    <w:lvl w:ilvl="7">
      <w:start w:val="0"/>
      <w:numFmt w:val="bullet"/>
      <w:lvlText w:val="•"/>
      <w:lvlJc w:val="left"/>
      <w:pPr>
        <w:ind w:left="7003" w:hanging="567"/>
      </w:pPr>
      <w:rPr>
        <w:rFonts w:hint="default"/>
        <w:lang w:val="id" w:eastAsia="en-US" w:bidi="ar-SA"/>
      </w:rPr>
    </w:lvl>
    <w:lvl w:ilvl="8">
      <w:start w:val="0"/>
      <w:numFmt w:val="bullet"/>
      <w:lvlText w:val="•"/>
      <w:lvlJc w:val="left"/>
      <w:pPr>
        <w:ind w:left="7741" w:hanging="567"/>
      </w:pPr>
      <w:rPr>
        <w:rFonts w:hint="default"/>
        <w:lang w:val="id" w:eastAsia="en-US" w:bidi="ar-SA"/>
      </w:rPr>
    </w:lvl>
  </w:abstractNum>
  <w:abstractNum w:abstractNumId="32">
    <w:multiLevelType w:val="hybridMultilevel"/>
    <w:lvl w:ilvl="0">
      <w:start w:val="1"/>
      <w:numFmt w:val="decimal"/>
      <w:lvlText w:val="%1."/>
      <w:lvlJc w:val="left"/>
      <w:pPr>
        <w:ind w:left="1843" w:hanging="567"/>
        <w:jc w:val="left"/>
      </w:pPr>
      <w:rPr>
        <w:rFonts w:hint="default" w:ascii="Segoe UI" w:hAnsi="Segoe UI" w:eastAsia="Segoe UI" w:cs="Segoe UI"/>
        <w:b/>
        <w:bCs/>
        <w:i w:val="0"/>
        <w:iCs w:val="0"/>
        <w:spacing w:val="0"/>
        <w:w w:val="100"/>
        <w:sz w:val="24"/>
        <w:szCs w:val="24"/>
        <w:lang w:val="id" w:eastAsia="en-US" w:bidi="ar-SA"/>
      </w:rPr>
    </w:lvl>
    <w:lvl w:ilvl="1">
      <w:start w:val="0"/>
      <w:numFmt w:val="bullet"/>
      <w:lvlText w:val="•"/>
      <w:lvlJc w:val="left"/>
      <w:pPr>
        <w:ind w:left="2577" w:hanging="567"/>
      </w:pPr>
      <w:rPr>
        <w:rFonts w:hint="default"/>
        <w:lang w:val="id" w:eastAsia="en-US" w:bidi="ar-SA"/>
      </w:rPr>
    </w:lvl>
    <w:lvl w:ilvl="2">
      <w:start w:val="0"/>
      <w:numFmt w:val="bullet"/>
      <w:lvlText w:val="•"/>
      <w:lvlJc w:val="left"/>
      <w:pPr>
        <w:ind w:left="3315" w:hanging="567"/>
      </w:pPr>
      <w:rPr>
        <w:rFonts w:hint="default"/>
        <w:lang w:val="id" w:eastAsia="en-US" w:bidi="ar-SA"/>
      </w:rPr>
    </w:lvl>
    <w:lvl w:ilvl="3">
      <w:start w:val="0"/>
      <w:numFmt w:val="bullet"/>
      <w:lvlText w:val="•"/>
      <w:lvlJc w:val="left"/>
      <w:pPr>
        <w:ind w:left="4053" w:hanging="567"/>
      </w:pPr>
      <w:rPr>
        <w:rFonts w:hint="default"/>
        <w:lang w:val="id" w:eastAsia="en-US" w:bidi="ar-SA"/>
      </w:rPr>
    </w:lvl>
    <w:lvl w:ilvl="4">
      <w:start w:val="0"/>
      <w:numFmt w:val="bullet"/>
      <w:lvlText w:val="•"/>
      <w:lvlJc w:val="left"/>
      <w:pPr>
        <w:ind w:left="4790" w:hanging="567"/>
      </w:pPr>
      <w:rPr>
        <w:rFonts w:hint="default"/>
        <w:lang w:val="id" w:eastAsia="en-US" w:bidi="ar-SA"/>
      </w:rPr>
    </w:lvl>
    <w:lvl w:ilvl="5">
      <w:start w:val="0"/>
      <w:numFmt w:val="bullet"/>
      <w:lvlText w:val="•"/>
      <w:lvlJc w:val="left"/>
      <w:pPr>
        <w:ind w:left="5528" w:hanging="567"/>
      </w:pPr>
      <w:rPr>
        <w:rFonts w:hint="default"/>
        <w:lang w:val="id" w:eastAsia="en-US" w:bidi="ar-SA"/>
      </w:rPr>
    </w:lvl>
    <w:lvl w:ilvl="6">
      <w:start w:val="0"/>
      <w:numFmt w:val="bullet"/>
      <w:lvlText w:val="•"/>
      <w:lvlJc w:val="left"/>
      <w:pPr>
        <w:ind w:left="6266" w:hanging="567"/>
      </w:pPr>
      <w:rPr>
        <w:rFonts w:hint="default"/>
        <w:lang w:val="id" w:eastAsia="en-US" w:bidi="ar-SA"/>
      </w:rPr>
    </w:lvl>
    <w:lvl w:ilvl="7">
      <w:start w:val="0"/>
      <w:numFmt w:val="bullet"/>
      <w:lvlText w:val="•"/>
      <w:lvlJc w:val="left"/>
      <w:pPr>
        <w:ind w:left="7003" w:hanging="567"/>
      </w:pPr>
      <w:rPr>
        <w:rFonts w:hint="default"/>
        <w:lang w:val="id" w:eastAsia="en-US" w:bidi="ar-SA"/>
      </w:rPr>
    </w:lvl>
    <w:lvl w:ilvl="8">
      <w:start w:val="0"/>
      <w:numFmt w:val="bullet"/>
      <w:lvlText w:val="•"/>
      <w:lvlJc w:val="left"/>
      <w:pPr>
        <w:ind w:left="7741" w:hanging="567"/>
      </w:pPr>
      <w:rPr>
        <w:rFonts w:hint="default"/>
        <w:lang w:val="id" w:eastAsia="en-US" w:bidi="ar-SA"/>
      </w:rPr>
    </w:lvl>
  </w:abstractNum>
  <w:abstractNum w:abstractNumId="31">
    <w:multiLevelType w:val="hybridMultilevel"/>
    <w:lvl w:ilvl="0">
      <w:start w:val="5"/>
      <w:numFmt w:val="decimal"/>
      <w:lvlText w:val="%1"/>
      <w:lvlJc w:val="left"/>
      <w:pPr>
        <w:ind w:left="979" w:hanging="413"/>
        <w:jc w:val="left"/>
      </w:pPr>
      <w:rPr>
        <w:rFonts w:hint="default"/>
        <w:lang w:val="id" w:eastAsia="en-US" w:bidi="ar-SA"/>
      </w:rPr>
    </w:lvl>
    <w:lvl w:ilvl="1">
      <w:start w:val="1"/>
      <w:numFmt w:val="decimal"/>
      <w:lvlText w:val="%1.%2"/>
      <w:lvlJc w:val="left"/>
      <w:pPr>
        <w:ind w:left="979" w:hanging="413"/>
        <w:jc w:val="left"/>
      </w:pPr>
      <w:rPr>
        <w:rFonts w:hint="default" w:ascii="Segoe UI" w:hAnsi="Segoe UI" w:eastAsia="Segoe UI" w:cs="Segoe UI"/>
        <w:b/>
        <w:bCs/>
        <w:i w:val="0"/>
        <w:iCs w:val="0"/>
        <w:spacing w:val="-3"/>
        <w:w w:val="100"/>
        <w:sz w:val="24"/>
        <w:szCs w:val="24"/>
        <w:lang w:val="id" w:eastAsia="en-US" w:bidi="ar-SA"/>
      </w:rPr>
    </w:lvl>
    <w:lvl w:ilvl="2">
      <w:start w:val="1"/>
      <w:numFmt w:val="decimal"/>
      <w:lvlText w:val="%1.%2.%3"/>
      <w:lvlJc w:val="left"/>
      <w:pPr>
        <w:ind w:left="1954" w:hanging="610"/>
        <w:jc w:val="left"/>
      </w:pPr>
      <w:rPr>
        <w:rFonts w:hint="default" w:ascii="Segoe UI" w:hAnsi="Segoe UI" w:eastAsia="Segoe UI" w:cs="Segoe UI"/>
        <w:b/>
        <w:bCs/>
        <w:i w:val="0"/>
        <w:iCs w:val="0"/>
        <w:spacing w:val="-3"/>
        <w:w w:val="100"/>
        <w:sz w:val="24"/>
        <w:szCs w:val="24"/>
        <w:lang w:val="id" w:eastAsia="en-US" w:bidi="ar-SA"/>
      </w:rPr>
    </w:lvl>
    <w:lvl w:ilvl="3">
      <w:start w:val="1"/>
      <w:numFmt w:val="decimal"/>
      <w:lvlText w:val="%4."/>
      <w:lvlJc w:val="left"/>
      <w:pPr>
        <w:ind w:left="1843" w:hanging="360"/>
        <w:jc w:val="left"/>
      </w:pPr>
      <w:rPr>
        <w:rFonts w:hint="default" w:ascii="Segoe UI" w:hAnsi="Segoe UI" w:eastAsia="Segoe UI" w:cs="Segoe UI"/>
        <w:b/>
        <w:bCs/>
        <w:i w:val="0"/>
        <w:iCs w:val="0"/>
        <w:spacing w:val="0"/>
        <w:w w:val="100"/>
        <w:sz w:val="24"/>
        <w:szCs w:val="24"/>
        <w:lang w:val="id" w:eastAsia="en-US" w:bidi="ar-SA"/>
      </w:rPr>
    </w:lvl>
    <w:lvl w:ilvl="4">
      <w:start w:val="1"/>
      <w:numFmt w:val="decimal"/>
      <w:lvlText w:val="%5"/>
      <w:lvlJc w:val="left"/>
      <w:pPr>
        <w:ind w:left="2050" w:hanging="207"/>
        <w:jc w:val="left"/>
      </w:pPr>
      <w:rPr>
        <w:rFonts w:hint="default" w:ascii="Segoe UI" w:hAnsi="Segoe UI" w:eastAsia="Segoe UI" w:cs="Segoe UI"/>
        <w:b w:val="0"/>
        <w:bCs w:val="0"/>
        <w:i w:val="0"/>
        <w:iCs w:val="0"/>
        <w:spacing w:val="0"/>
        <w:w w:val="100"/>
        <w:sz w:val="24"/>
        <w:szCs w:val="24"/>
        <w:lang w:val="id" w:eastAsia="en-US" w:bidi="ar-SA"/>
      </w:rPr>
    </w:lvl>
    <w:lvl w:ilvl="5">
      <w:start w:val="0"/>
      <w:numFmt w:val="bullet"/>
      <w:lvlText w:val="•"/>
      <w:lvlJc w:val="left"/>
      <w:pPr>
        <w:ind w:left="3252" w:hanging="207"/>
      </w:pPr>
      <w:rPr>
        <w:rFonts w:hint="default"/>
        <w:lang w:val="id" w:eastAsia="en-US" w:bidi="ar-SA"/>
      </w:rPr>
    </w:lvl>
    <w:lvl w:ilvl="6">
      <w:start w:val="0"/>
      <w:numFmt w:val="bullet"/>
      <w:lvlText w:val="•"/>
      <w:lvlJc w:val="left"/>
      <w:pPr>
        <w:ind w:left="4445" w:hanging="207"/>
      </w:pPr>
      <w:rPr>
        <w:rFonts w:hint="default"/>
        <w:lang w:val="id" w:eastAsia="en-US" w:bidi="ar-SA"/>
      </w:rPr>
    </w:lvl>
    <w:lvl w:ilvl="7">
      <w:start w:val="0"/>
      <w:numFmt w:val="bullet"/>
      <w:lvlText w:val="•"/>
      <w:lvlJc w:val="left"/>
      <w:pPr>
        <w:ind w:left="5638" w:hanging="207"/>
      </w:pPr>
      <w:rPr>
        <w:rFonts w:hint="default"/>
        <w:lang w:val="id" w:eastAsia="en-US" w:bidi="ar-SA"/>
      </w:rPr>
    </w:lvl>
    <w:lvl w:ilvl="8">
      <w:start w:val="0"/>
      <w:numFmt w:val="bullet"/>
      <w:lvlText w:val="•"/>
      <w:lvlJc w:val="left"/>
      <w:pPr>
        <w:ind w:left="6831" w:hanging="207"/>
      </w:pPr>
      <w:rPr>
        <w:rFonts w:hint="default"/>
        <w:lang w:val="id" w:eastAsia="en-US" w:bidi="ar-SA"/>
      </w:rPr>
    </w:lvl>
  </w:abstractNum>
  <w:abstractNum w:abstractNumId="30">
    <w:multiLevelType w:val="hybridMultilevel"/>
    <w:lvl w:ilvl="0">
      <w:start w:val="0"/>
      <w:numFmt w:val="bullet"/>
      <w:lvlText w:val="-"/>
      <w:lvlJc w:val="left"/>
      <w:pPr>
        <w:ind w:left="1286" w:hanging="293"/>
      </w:pPr>
      <w:rPr>
        <w:rFonts w:hint="default" w:ascii="Calibri" w:hAnsi="Calibri" w:eastAsia="Calibri" w:cs="Calibri"/>
        <w:b/>
        <w:bCs/>
        <w:i w:val="0"/>
        <w:iCs w:val="0"/>
        <w:spacing w:val="0"/>
        <w:w w:val="100"/>
        <w:sz w:val="24"/>
        <w:szCs w:val="24"/>
        <w:lang w:val="id" w:eastAsia="en-US" w:bidi="ar-SA"/>
      </w:rPr>
    </w:lvl>
    <w:lvl w:ilvl="1">
      <w:start w:val="1"/>
      <w:numFmt w:val="lowerLetter"/>
      <w:lvlText w:val="%2."/>
      <w:lvlJc w:val="left"/>
      <w:pPr>
        <w:ind w:left="1704" w:hanging="428"/>
        <w:jc w:val="left"/>
      </w:pPr>
      <w:rPr>
        <w:rFonts w:hint="default" w:ascii="Segoe UI" w:hAnsi="Segoe UI" w:eastAsia="Segoe UI" w:cs="Segoe UI"/>
        <w:b w:val="0"/>
        <w:bCs w:val="0"/>
        <w:i w:val="0"/>
        <w:iCs w:val="0"/>
        <w:spacing w:val="-3"/>
        <w:w w:val="100"/>
        <w:sz w:val="24"/>
        <w:szCs w:val="24"/>
        <w:lang w:val="id" w:eastAsia="en-US" w:bidi="ar-SA"/>
      </w:rPr>
    </w:lvl>
    <w:lvl w:ilvl="2">
      <w:start w:val="0"/>
      <w:numFmt w:val="bullet"/>
      <w:lvlText w:val="o"/>
      <w:lvlJc w:val="left"/>
      <w:pPr>
        <w:ind w:left="1843" w:hanging="279"/>
      </w:pPr>
      <w:rPr>
        <w:rFonts w:hint="default" w:ascii="Courier New" w:hAnsi="Courier New" w:eastAsia="Courier New" w:cs="Courier New"/>
        <w:b w:val="0"/>
        <w:bCs w:val="0"/>
        <w:i w:val="0"/>
        <w:iCs w:val="0"/>
        <w:spacing w:val="0"/>
        <w:w w:val="100"/>
        <w:sz w:val="24"/>
        <w:szCs w:val="24"/>
        <w:lang w:val="id" w:eastAsia="en-US" w:bidi="ar-SA"/>
      </w:rPr>
    </w:lvl>
    <w:lvl w:ilvl="3">
      <w:start w:val="0"/>
      <w:numFmt w:val="bullet"/>
      <w:lvlText w:val="•"/>
      <w:lvlJc w:val="left"/>
      <w:pPr>
        <w:ind w:left="1840" w:hanging="279"/>
      </w:pPr>
      <w:rPr>
        <w:rFonts w:hint="default"/>
        <w:lang w:val="id" w:eastAsia="en-US" w:bidi="ar-SA"/>
      </w:rPr>
    </w:lvl>
    <w:lvl w:ilvl="4">
      <w:start w:val="0"/>
      <w:numFmt w:val="bullet"/>
      <w:lvlText w:val="•"/>
      <w:lvlJc w:val="left"/>
      <w:pPr>
        <w:ind w:left="2893" w:hanging="279"/>
      </w:pPr>
      <w:rPr>
        <w:rFonts w:hint="default"/>
        <w:lang w:val="id" w:eastAsia="en-US" w:bidi="ar-SA"/>
      </w:rPr>
    </w:lvl>
    <w:lvl w:ilvl="5">
      <w:start w:val="0"/>
      <w:numFmt w:val="bullet"/>
      <w:lvlText w:val="•"/>
      <w:lvlJc w:val="left"/>
      <w:pPr>
        <w:ind w:left="3947" w:hanging="279"/>
      </w:pPr>
      <w:rPr>
        <w:rFonts w:hint="default"/>
        <w:lang w:val="id" w:eastAsia="en-US" w:bidi="ar-SA"/>
      </w:rPr>
    </w:lvl>
    <w:lvl w:ilvl="6">
      <w:start w:val="0"/>
      <w:numFmt w:val="bullet"/>
      <w:lvlText w:val="•"/>
      <w:lvlJc w:val="left"/>
      <w:pPr>
        <w:ind w:left="5001" w:hanging="279"/>
      </w:pPr>
      <w:rPr>
        <w:rFonts w:hint="default"/>
        <w:lang w:val="id" w:eastAsia="en-US" w:bidi="ar-SA"/>
      </w:rPr>
    </w:lvl>
    <w:lvl w:ilvl="7">
      <w:start w:val="0"/>
      <w:numFmt w:val="bullet"/>
      <w:lvlText w:val="•"/>
      <w:lvlJc w:val="left"/>
      <w:pPr>
        <w:ind w:left="6055" w:hanging="279"/>
      </w:pPr>
      <w:rPr>
        <w:rFonts w:hint="default"/>
        <w:lang w:val="id" w:eastAsia="en-US" w:bidi="ar-SA"/>
      </w:rPr>
    </w:lvl>
    <w:lvl w:ilvl="8">
      <w:start w:val="0"/>
      <w:numFmt w:val="bullet"/>
      <w:lvlText w:val="•"/>
      <w:lvlJc w:val="left"/>
      <w:pPr>
        <w:ind w:left="7109" w:hanging="279"/>
      </w:pPr>
      <w:rPr>
        <w:rFonts w:hint="default"/>
        <w:lang w:val="id" w:eastAsia="en-US" w:bidi="ar-SA"/>
      </w:rPr>
    </w:lvl>
  </w:abstractNum>
  <w:abstractNum w:abstractNumId="29">
    <w:multiLevelType w:val="hybridMultilevel"/>
    <w:lvl w:ilvl="0">
      <w:start w:val="4"/>
      <w:numFmt w:val="decimal"/>
      <w:lvlText w:val="%1"/>
      <w:lvlJc w:val="left"/>
      <w:pPr>
        <w:ind w:left="979" w:hanging="413"/>
        <w:jc w:val="left"/>
      </w:pPr>
      <w:rPr>
        <w:rFonts w:hint="default"/>
        <w:lang w:val="id" w:eastAsia="en-US" w:bidi="ar-SA"/>
      </w:rPr>
    </w:lvl>
    <w:lvl w:ilvl="1">
      <w:start w:val="1"/>
      <w:numFmt w:val="decimal"/>
      <w:lvlText w:val="%1.%2"/>
      <w:lvlJc w:val="left"/>
      <w:pPr>
        <w:ind w:left="979" w:hanging="413"/>
        <w:jc w:val="left"/>
      </w:pPr>
      <w:rPr>
        <w:rFonts w:hint="default" w:ascii="Segoe UI" w:hAnsi="Segoe UI" w:eastAsia="Segoe UI" w:cs="Segoe UI"/>
        <w:b/>
        <w:bCs/>
        <w:i w:val="0"/>
        <w:iCs w:val="0"/>
        <w:spacing w:val="-3"/>
        <w:w w:val="100"/>
        <w:sz w:val="24"/>
        <w:szCs w:val="24"/>
        <w:lang w:val="id" w:eastAsia="en-US" w:bidi="ar-SA"/>
      </w:rPr>
    </w:lvl>
    <w:lvl w:ilvl="2">
      <w:start w:val="0"/>
      <w:numFmt w:val="bullet"/>
      <w:lvlText w:val="-"/>
      <w:lvlJc w:val="left"/>
      <w:pPr>
        <w:ind w:left="1277" w:hanging="284"/>
      </w:pPr>
      <w:rPr>
        <w:rFonts w:hint="default" w:ascii="Calibri" w:hAnsi="Calibri" w:eastAsia="Calibri" w:cs="Calibri"/>
        <w:b/>
        <w:bCs/>
        <w:i w:val="0"/>
        <w:iCs w:val="0"/>
        <w:spacing w:val="0"/>
        <w:w w:val="100"/>
        <w:sz w:val="24"/>
        <w:szCs w:val="24"/>
        <w:lang w:val="id" w:eastAsia="en-US" w:bidi="ar-SA"/>
      </w:rPr>
    </w:lvl>
    <w:lvl w:ilvl="3">
      <w:start w:val="0"/>
      <w:numFmt w:val="bullet"/>
      <w:lvlText w:val="•"/>
      <w:lvlJc w:val="left"/>
      <w:pPr>
        <w:ind w:left="3043" w:hanging="284"/>
      </w:pPr>
      <w:rPr>
        <w:rFonts w:hint="default"/>
        <w:lang w:val="id" w:eastAsia="en-US" w:bidi="ar-SA"/>
      </w:rPr>
    </w:lvl>
    <w:lvl w:ilvl="4">
      <w:start w:val="0"/>
      <w:numFmt w:val="bullet"/>
      <w:lvlText w:val="•"/>
      <w:lvlJc w:val="left"/>
      <w:pPr>
        <w:ind w:left="3925" w:hanging="284"/>
      </w:pPr>
      <w:rPr>
        <w:rFonts w:hint="default"/>
        <w:lang w:val="id" w:eastAsia="en-US" w:bidi="ar-SA"/>
      </w:rPr>
    </w:lvl>
    <w:lvl w:ilvl="5">
      <w:start w:val="0"/>
      <w:numFmt w:val="bullet"/>
      <w:lvlText w:val="•"/>
      <w:lvlJc w:val="left"/>
      <w:pPr>
        <w:ind w:left="4807" w:hanging="284"/>
      </w:pPr>
      <w:rPr>
        <w:rFonts w:hint="default"/>
        <w:lang w:val="id" w:eastAsia="en-US" w:bidi="ar-SA"/>
      </w:rPr>
    </w:lvl>
    <w:lvl w:ilvl="6">
      <w:start w:val="0"/>
      <w:numFmt w:val="bullet"/>
      <w:lvlText w:val="•"/>
      <w:lvlJc w:val="left"/>
      <w:pPr>
        <w:ind w:left="5689" w:hanging="284"/>
      </w:pPr>
      <w:rPr>
        <w:rFonts w:hint="default"/>
        <w:lang w:val="id" w:eastAsia="en-US" w:bidi="ar-SA"/>
      </w:rPr>
    </w:lvl>
    <w:lvl w:ilvl="7">
      <w:start w:val="0"/>
      <w:numFmt w:val="bullet"/>
      <w:lvlText w:val="•"/>
      <w:lvlJc w:val="left"/>
      <w:pPr>
        <w:ind w:left="6571" w:hanging="284"/>
      </w:pPr>
      <w:rPr>
        <w:rFonts w:hint="default"/>
        <w:lang w:val="id" w:eastAsia="en-US" w:bidi="ar-SA"/>
      </w:rPr>
    </w:lvl>
    <w:lvl w:ilvl="8">
      <w:start w:val="0"/>
      <w:numFmt w:val="bullet"/>
      <w:lvlText w:val="•"/>
      <w:lvlJc w:val="left"/>
      <w:pPr>
        <w:ind w:left="7453" w:hanging="284"/>
      </w:pPr>
      <w:rPr>
        <w:rFonts w:hint="default"/>
        <w:lang w:val="id" w:eastAsia="en-US" w:bidi="ar-SA"/>
      </w:rPr>
    </w:lvl>
  </w:abstractNum>
  <w:abstractNum w:abstractNumId="28">
    <w:multiLevelType w:val="hybridMultilevel"/>
    <w:lvl w:ilvl="0">
      <w:start w:val="1"/>
      <w:numFmt w:val="lowerLetter"/>
      <w:lvlText w:val="%1."/>
      <w:lvlJc w:val="left"/>
      <w:pPr>
        <w:ind w:left="1137" w:hanging="284"/>
        <w:jc w:val="left"/>
      </w:pPr>
      <w:rPr>
        <w:rFonts w:hint="default" w:ascii="Segoe UI" w:hAnsi="Segoe UI" w:eastAsia="Segoe UI" w:cs="Segoe UI"/>
        <w:b/>
        <w:bCs/>
        <w:i w:val="0"/>
        <w:iCs w:val="0"/>
        <w:spacing w:val="0"/>
        <w:w w:val="100"/>
        <w:sz w:val="24"/>
        <w:szCs w:val="24"/>
        <w:lang w:val="id" w:eastAsia="en-US" w:bidi="ar-SA"/>
      </w:rPr>
    </w:lvl>
    <w:lvl w:ilvl="1">
      <w:start w:val="1"/>
      <w:numFmt w:val="decimal"/>
      <w:lvlText w:val="%2."/>
      <w:lvlJc w:val="left"/>
      <w:pPr>
        <w:ind w:left="1560" w:hanging="284"/>
        <w:jc w:val="left"/>
      </w:pPr>
      <w:rPr>
        <w:rFonts w:hint="default" w:ascii="Calibri" w:hAnsi="Calibri" w:eastAsia="Calibri" w:cs="Calibri"/>
        <w:b w:val="0"/>
        <w:bCs w:val="0"/>
        <w:i w:val="0"/>
        <w:iCs w:val="0"/>
        <w:spacing w:val="-2"/>
        <w:w w:val="100"/>
        <w:sz w:val="24"/>
        <w:szCs w:val="24"/>
        <w:lang w:val="id" w:eastAsia="en-US" w:bidi="ar-SA"/>
      </w:rPr>
    </w:lvl>
    <w:lvl w:ilvl="2">
      <w:start w:val="0"/>
      <w:numFmt w:val="bullet"/>
      <w:lvlText w:val="•"/>
      <w:lvlJc w:val="left"/>
      <w:pPr>
        <w:ind w:left="2410" w:hanging="284"/>
      </w:pPr>
      <w:rPr>
        <w:rFonts w:hint="default"/>
        <w:lang w:val="id" w:eastAsia="en-US" w:bidi="ar-SA"/>
      </w:rPr>
    </w:lvl>
    <w:lvl w:ilvl="3">
      <w:start w:val="0"/>
      <w:numFmt w:val="bullet"/>
      <w:lvlText w:val="•"/>
      <w:lvlJc w:val="left"/>
      <w:pPr>
        <w:ind w:left="3261" w:hanging="284"/>
      </w:pPr>
      <w:rPr>
        <w:rFonts w:hint="default"/>
        <w:lang w:val="id" w:eastAsia="en-US" w:bidi="ar-SA"/>
      </w:rPr>
    </w:lvl>
    <w:lvl w:ilvl="4">
      <w:start w:val="0"/>
      <w:numFmt w:val="bullet"/>
      <w:lvlText w:val="•"/>
      <w:lvlJc w:val="left"/>
      <w:pPr>
        <w:ind w:left="4112" w:hanging="284"/>
      </w:pPr>
      <w:rPr>
        <w:rFonts w:hint="default"/>
        <w:lang w:val="id" w:eastAsia="en-US" w:bidi="ar-SA"/>
      </w:rPr>
    </w:lvl>
    <w:lvl w:ilvl="5">
      <w:start w:val="0"/>
      <w:numFmt w:val="bullet"/>
      <w:lvlText w:val="•"/>
      <w:lvlJc w:val="left"/>
      <w:pPr>
        <w:ind w:left="4963" w:hanging="284"/>
      </w:pPr>
      <w:rPr>
        <w:rFonts w:hint="default"/>
        <w:lang w:val="id" w:eastAsia="en-US" w:bidi="ar-SA"/>
      </w:rPr>
    </w:lvl>
    <w:lvl w:ilvl="6">
      <w:start w:val="0"/>
      <w:numFmt w:val="bullet"/>
      <w:lvlText w:val="•"/>
      <w:lvlJc w:val="left"/>
      <w:pPr>
        <w:ind w:left="5813" w:hanging="284"/>
      </w:pPr>
      <w:rPr>
        <w:rFonts w:hint="default"/>
        <w:lang w:val="id" w:eastAsia="en-US" w:bidi="ar-SA"/>
      </w:rPr>
    </w:lvl>
    <w:lvl w:ilvl="7">
      <w:start w:val="0"/>
      <w:numFmt w:val="bullet"/>
      <w:lvlText w:val="•"/>
      <w:lvlJc w:val="left"/>
      <w:pPr>
        <w:ind w:left="6664" w:hanging="284"/>
      </w:pPr>
      <w:rPr>
        <w:rFonts w:hint="default"/>
        <w:lang w:val="id" w:eastAsia="en-US" w:bidi="ar-SA"/>
      </w:rPr>
    </w:lvl>
    <w:lvl w:ilvl="8">
      <w:start w:val="0"/>
      <w:numFmt w:val="bullet"/>
      <w:lvlText w:val="•"/>
      <w:lvlJc w:val="left"/>
      <w:pPr>
        <w:ind w:left="7515" w:hanging="284"/>
      </w:pPr>
      <w:rPr>
        <w:rFonts w:hint="default"/>
        <w:lang w:val="id" w:eastAsia="en-US" w:bidi="ar-SA"/>
      </w:rPr>
    </w:lvl>
  </w:abstractNum>
  <w:abstractNum w:abstractNumId="27">
    <w:multiLevelType w:val="hybridMultilevel"/>
    <w:lvl w:ilvl="0">
      <w:start w:val="0"/>
      <w:numFmt w:val="bullet"/>
      <w:lvlText w:val="-"/>
      <w:lvlJc w:val="left"/>
      <w:pPr>
        <w:ind w:left="470" w:hanging="361"/>
      </w:pPr>
      <w:rPr>
        <w:rFonts w:hint="default" w:ascii="Calibri" w:hAnsi="Calibri" w:eastAsia="Calibri" w:cs="Calibri"/>
        <w:b/>
        <w:bCs/>
        <w:i w:val="0"/>
        <w:iCs w:val="0"/>
        <w:spacing w:val="0"/>
        <w:w w:val="100"/>
        <w:sz w:val="24"/>
        <w:szCs w:val="24"/>
        <w:lang w:val="id" w:eastAsia="en-US" w:bidi="ar-SA"/>
      </w:rPr>
    </w:lvl>
    <w:lvl w:ilvl="1">
      <w:start w:val="0"/>
      <w:numFmt w:val="bullet"/>
      <w:lvlText w:val="•"/>
      <w:lvlJc w:val="left"/>
      <w:pPr>
        <w:ind w:left="926" w:hanging="361"/>
      </w:pPr>
      <w:rPr>
        <w:rFonts w:hint="default"/>
        <w:lang w:val="id" w:eastAsia="en-US" w:bidi="ar-SA"/>
      </w:rPr>
    </w:lvl>
    <w:lvl w:ilvl="2">
      <w:start w:val="0"/>
      <w:numFmt w:val="bullet"/>
      <w:lvlText w:val="•"/>
      <w:lvlJc w:val="left"/>
      <w:pPr>
        <w:ind w:left="1373" w:hanging="361"/>
      </w:pPr>
      <w:rPr>
        <w:rFonts w:hint="default"/>
        <w:lang w:val="id" w:eastAsia="en-US" w:bidi="ar-SA"/>
      </w:rPr>
    </w:lvl>
    <w:lvl w:ilvl="3">
      <w:start w:val="0"/>
      <w:numFmt w:val="bullet"/>
      <w:lvlText w:val="•"/>
      <w:lvlJc w:val="left"/>
      <w:pPr>
        <w:ind w:left="1819" w:hanging="361"/>
      </w:pPr>
      <w:rPr>
        <w:rFonts w:hint="default"/>
        <w:lang w:val="id" w:eastAsia="en-US" w:bidi="ar-SA"/>
      </w:rPr>
    </w:lvl>
    <w:lvl w:ilvl="4">
      <w:start w:val="0"/>
      <w:numFmt w:val="bullet"/>
      <w:lvlText w:val="•"/>
      <w:lvlJc w:val="left"/>
      <w:pPr>
        <w:ind w:left="2266" w:hanging="361"/>
      </w:pPr>
      <w:rPr>
        <w:rFonts w:hint="default"/>
        <w:lang w:val="id" w:eastAsia="en-US" w:bidi="ar-SA"/>
      </w:rPr>
    </w:lvl>
    <w:lvl w:ilvl="5">
      <w:start w:val="0"/>
      <w:numFmt w:val="bullet"/>
      <w:lvlText w:val="•"/>
      <w:lvlJc w:val="left"/>
      <w:pPr>
        <w:ind w:left="2713" w:hanging="361"/>
      </w:pPr>
      <w:rPr>
        <w:rFonts w:hint="default"/>
        <w:lang w:val="id" w:eastAsia="en-US" w:bidi="ar-SA"/>
      </w:rPr>
    </w:lvl>
    <w:lvl w:ilvl="6">
      <w:start w:val="0"/>
      <w:numFmt w:val="bullet"/>
      <w:lvlText w:val="•"/>
      <w:lvlJc w:val="left"/>
      <w:pPr>
        <w:ind w:left="3159" w:hanging="361"/>
      </w:pPr>
      <w:rPr>
        <w:rFonts w:hint="default"/>
        <w:lang w:val="id" w:eastAsia="en-US" w:bidi="ar-SA"/>
      </w:rPr>
    </w:lvl>
    <w:lvl w:ilvl="7">
      <w:start w:val="0"/>
      <w:numFmt w:val="bullet"/>
      <w:lvlText w:val="•"/>
      <w:lvlJc w:val="left"/>
      <w:pPr>
        <w:ind w:left="3606" w:hanging="361"/>
      </w:pPr>
      <w:rPr>
        <w:rFonts w:hint="default"/>
        <w:lang w:val="id" w:eastAsia="en-US" w:bidi="ar-SA"/>
      </w:rPr>
    </w:lvl>
    <w:lvl w:ilvl="8">
      <w:start w:val="0"/>
      <w:numFmt w:val="bullet"/>
      <w:lvlText w:val="•"/>
      <w:lvlJc w:val="left"/>
      <w:pPr>
        <w:ind w:left="4052" w:hanging="361"/>
      </w:pPr>
      <w:rPr>
        <w:rFonts w:hint="default"/>
        <w:lang w:val="id" w:eastAsia="en-US" w:bidi="ar-SA"/>
      </w:rPr>
    </w:lvl>
  </w:abstractNum>
  <w:abstractNum w:abstractNumId="26">
    <w:multiLevelType w:val="hybridMultilevel"/>
    <w:lvl w:ilvl="0">
      <w:start w:val="0"/>
      <w:numFmt w:val="bullet"/>
      <w:lvlText w:val="-"/>
      <w:lvlJc w:val="left"/>
      <w:pPr>
        <w:ind w:left="470" w:hanging="361"/>
      </w:pPr>
      <w:rPr>
        <w:rFonts w:hint="default" w:ascii="Calibri" w:hAnsi="Calibri" w:eastAsia="Calibri" w:cs="Calibri"/>
        <w:b/>
        <w:bCs/>
        <w:i w:val="0"/>
        <w:iCs w:val="0"/>
        <w:spacing w:val="0"/>
        <w:w w:val="100"/>
        <w:sz w:val="24"/>
        <w:szCs w:val="24"/>
        <w:lang w:val="id" w:eastAsia="en-US" w:bidi="ar-SA"/>
      </w:rPr>
    </w:lvl>
    <w:lvl w:ilvl="1">
      <w:start w:val="0"/>
      <w:numFmt w:val="bullet"/>
      <w:lvlText w:val="•"/>
      <w:lvlJc w:val="left"/>
      <w:pPr>
        <w:ind w:left="927" w:hanging="361"/>
      </w:pPr>
      <w:rPr>
        <w:rFonts w:hint="default"/>
        <w:lang w:val="id" w:eastAsia="en-US" w:bidi="ar-SA"/>
      </w:rPr>
    </w:lvl>
    <w:lvl w:ilvl="2">
      <w:start w:val="0"/>
      <w:numFmt w:val="bullet"/>
      <w:lvlText w:val="•"/>
      <w:lvlJc w:val="left"/>
      <w:pPr>
        <w:ind w:left="1374" w:hanging="361"/>
      </w:pPr>
      <w:rPr>
        <w:rFonts w:hint="default"/>
        <w:lang w:val="id" w:eastAsia="en-US" w:bidi="ar-SA"/>
      </w:rPr>
    </w:lvl>
    <w:lvl w:ilvl="3">
      <w:start w:val="0"/>
      <w:numFmt w:val="bullet"/>
      <w:lvlText w:val="•"/>
      <w:lvlJc w:val="left"/>
      <w:pPr>
        <w:ind w:left="1821" w:hanging="361"/>
      </w:pPr>
      <w:rPr>
        <w:rFonts w:hint="default"/>
        <w:lang w:val="id" w:eastAsia="en-US" w:bidi="ar-SA"/>
      </w:rPr>
    </w:lvl>
    <w:lvl w:ilvl="4">
      <w:start w:val="0"/>
      <w:numFmt w:val="bullet"/>
      <w:lvlText w:val="•"/>
      <w:lvlJc w:val="left"/>
      <w:pPr>
        <w:ind w:left="2268" w:hanging="361"/>
      </w:pPr>
      <w:rPr>
        <w:rFonts w:hint="default"/>
        <w:lang w:val="id" w:eastAsia="en-US" w:bidi="ar-SA"/>
      </w:rPr>
    </w:lvl>
    <w:lvl w:ilvl="5">
      <w:start w:val="0"/>
      <w:numFmt w:val="bullet"/>
      <w:lvlText w:val="•"/>
      <w:lvlJc w:val="left"/>
      <w:pPr>
        <w:ind w:left="2715" w:hanging="361"/>
      </w:pPr>
      <w:rPr>
        <w:rFonts w:hint="default"/>
        <w:lang w:val="id" w:eastAsia="en-US" w:bidi="ar-SA"/>
      </w:rPr>
    </w:lvl>
    <w:lvl w:ilvl="6">
      <w:start w:val="0"/>
      <w:numFmt w:val="bullet"/>
      <w:lvlText w:val="•"/>
      <w:lvlJc w:val="left"/>
      <w:pPr>
        <w:ind w:left="3162" w:hanging="361"/>
      </w:pPr>
      <w:rPr>
        <w:rFonts w:hint="default"/>
        <w:lang w:val="id" w:eastAsia="en-US" w:bidi="ar-SA"/>
      </w:rPr>
    </w:lvl>
    <w:lvl w:ilvl="7">
      <w:start w:val="0"/>
      <w:numFmt w:val="bullet"/>
      <w:lvlText w:val="•"/>
      <w:lvlJc w:val="left"/>
      <w:pPr>
        <w:ind w:left="3609" w:hanging="361"/>
      </w:pPr>
      <w:rPr>
        <w:rFonts w:hint="default"/>
        <w:lang w:val="id" w:eastAsia="en-US" w:bidi="ar-SA"/>
      </w:rPr>
    </w:lvl>
    <w:lvl w:ilvl="8">
      <w:start w:val="0"/>
      <w:numFmt w:val="bullet"/>
      <w:lvlText w:val="•"/>
      <w:lvlJc w:val="left"/>
      <w:pPr>
        <w:ind w:left="4056" w:hanging="361"/>
      </w:pPr>
      <w:rPr>
        <w:rFonts w:hint="default"/>
        <w:lang w:val="id" w:eastAsia="en-US" w:bidi="ar-SA"/>
      </w:rPr>
    </w:lvl>
  </w:abstractNum>
  <w:abstractNum w:abstractNumId="25">
    <w:multiLevelType w:val="hybridMultilevel"/>
    <w:lvl w:ilvl="0">
      <w:start w:val="0"/>
      <w:numFmt w:val="bullet"/>
      <w:lvlText w:val="-"/>
      <w:lvlJc w:val="left"/>
      <w:pPr>
        <w:ind w:left="470" w:hanging="361"/>
      </w:pPr>
      <w:rPr>
        <w:rFonts w:hint="default" w:ascii="Calibri" w:hAnsi="Calibri" w:eastAsia="Calibri" w:cs="Calibri"/>
        <w:b/>
        <w:bCs/>
        <w:i w:val="0"/>
        <w:iCs w:val="0"/>
        <w:spacing w:val="0"/>
        <w:w w:val="100"/>
        <w:sz w:val="24"/>
        <w:szCs w:val="24"/>
        <w:lang w:val="id" w:eastAsia="en-US" w:bidi="ar-SA"/>
      </w:rPr>
    </w:lvl>
    <w:lvl w:ilvl="1">
      <w:start w:val="0"/>
      <w:numFmt w:val="bullet"/>
      <w:lvlText w:val="•"/>
      <w:lvlJc w:val="left"/>
      <w:pPr>
        <w:ind w:left="927" w:hanging="361"/>
      </w:pPr>
      <w:rPr>
        <w:rFonts w:hint="default"/>
        <w:lang w:val="id" w:eastAsia="en-US" w:bidi="ar-SA"/>
      </w:rPr>
    </w:lvl>
    <w:lvl w:ilvl="2">
      <w:start w:val="0"/>
      <w:numFmt w:val="bullet"/>
      <w:lvlText w:val="•"/>
      <w:lvlJc w:val="left"/>
      <w:pPr>
        <w:ind w:left="1374" w:hanging="361"/>
      </w:pPr>
      <w:rPr>
        <w:rFonts w:hint="default"/>
        <w:lang w:val="id" w:eastAsia="en-US" w:bidi="ar-SA"/>
      </w:rPr>
    </w:lvl>
    <w:lvl w:ilvl="3">
      <w:start w:val="0"/>
      <w:numFmt w:val="bullet"/>
      <w:lvlText w:val="•"/>
      <w:lvlJc w:val="left"/>
      <w:pPr>
        <w:ind w:left="1821" w:hanging="361"/>
      </w:pPr>
      <w:rPr>
        <w:rFonts w:hint="default"/>
        <w:lang w:val="id" w:eastAsia="en-US" w:bidi="ar-SA"/>
      </w:rPr>
    </w:lvl>
    <w:lvl w:ilvl="4">
      <w:start w:val="0"/>
      <w:numFmt w:val="bullet"/>
      <w:lvlText w:val="•"/>
      <w:lvlJc w:val="left"/>
      <w:pPr>
        <w:ind w:left="2268" w:hanging="361"/>
      </w:pPr>
      <w:rPr>
        <w:rFonts w:hint="default"/>
        <w:lang w:val="id" w:eastAsia="en-US" w:bidi="ar-SA"/>
      </w:rPr>
    </w:lvl>
    <w:lvl w:ilvl="5">
      <w:start w:val="0"/>
      <w:numFmt w:val="bullet"/>
      <w:lvlText w:val="•"/>
      <w:lvlJc w:val="left"/>
      <w:pPr>
        <w:ind w:left="2715" w:hanging="361"/>
      </w:pPr>
      <w:rPr>
        <w:rFonts w:hint="default"/>
        <w:lang w:val="id" w:eastAsia="en-US" w:bidi="ar-SA"/>
      </w:rPr>
    </w:lvl>
    <w:lvl w:ilvl="6">
      <w:start w:val="0"/>
      <w:numFmt w:val="bullet"/>
      <w:lvlText w:val="•"/>
      <w:lvlJc w:val="left"/>
      <w:pPr>
        <w:ind w:left="3162" w:hanging="361"/>
      </w:pPr>
      <w:rPr>
        <w:rFonts w:hint="default"/>
        <w:lang w:val="id" w:eastAsia="en-US" w:bidi="ar-SA"/>
      </w:rPr>
    </w:lvl>
    <w:lvl w:ilvl="7">
      <w:start w:val="0"/>
      <w:numFmt w:val="bullet"/>
      <w:lvlText w:val="•"/>
      <w:lvlJc w:val="left"/>
      <w:pPr>
        <w:ind w:left="3609" w:hanging="361"/>
      </w:pPr>
      <w:rPr>
        <w:rFonts w:hint="default"/>
        <w:lang w:val="id" w:eastAsia="en-US" w:bidi="ar-SA"/>
      </w:rPr>
    </w:lvl>
    <w:lvl w:ilvl="8">
      <w:start w:val="0"/>
      <w:numFmt w:val="bullet"/>
      <w:lvlText w:val="•"/>
      <w:lvlJc w:val="left"/>
      <w:pPr>
        <w:ind w:left="4056" w:hanging="361"/>
      </w:pPr>
      <w:rPr>
        <w:rFonts w:hint="default"/>
        <w:lang w:val="id" w:eastAsia="en-US" w:bidi="ar-SA"/>
      </w:rPr>
    </w:lvl>
  </w:abstractNum>
  <w:abstractNum w:abstractNumId="24">
    <w:multiLevelType w:val="hybridMultilevel"/>
    <w:lvl w:ilvl="0">
      <w:start w:val="3"/>
      <w:numFmt w:val="decimal"/>
      <w:lvlText w:val="%1"/>
      <w:lvlJc w:val="left"/>
      <w:pPr>
        <w:ind w:left="979" w:hanging="413"/>
        <w:jc w:val="left"/>
      </w:pPr>
      <w:rPr>
        <w:rFonts w:hint="default"/>
        <w:lang w:val="id" w:eastAsia="en-US" w:bidi="ar-SA"/>
      </w:rPr>
    </w:lvl>
    <w:lvl w:ilvl="1">
      <w:start w:val="1"/>
      <w:numFmt w:val="decimal"/>
      <w:lvlText w:val="%1.%2"/>
      <w:lvlJc w:val="left"/>
      <w:pPr>
        <w:ind w:left="979" w:hanging="413"/>
        <w:jc w:val="left"/>
      </w:pPr>
      <w:rPr>
        <w:rFonts w:hint="default" w:ascii="Segoe UI" w:hAnsi="Segoe UI" w:eastAsia="Segoe UI" w:cs="Segoe UI"/>
        <w:b/>
        <w:bCs/>
        <w:i w:val="0"/>
        <w:iCs w:val="0"/>
        <w:spacing w:val="-3"/>
        <w:w w:val="100"/>
        <w:sz w:val="24"/>
        <w:szCs w:val="24"/>
        <w:lang w:val="id" w:eastAsia="en-US" w:bidi="ar-SA"/>
      </w:rPr>
    </w:lvl>
    <w:lvl w:ilvl="2">
      <w:start w:val="1"/>
      <w:numFmt w:val="lowerLetter"/>
      <w:lvlText w:val="(%3)"/>
      <w:lvlJc w:val="left"/>
      <w:pPr>
        <w:ind w:left="1286" w:hanging="360"/>
        <w:jc w:val="left"/>
      </w:pPr>
      <w:rPr>
        <w:rFonts w:hint="default" w:ascii="Segoe UI" w:hAnsi="Segoe UI" w:eastAsia="Segoe UI" w:cs="Segoe UI"/>
        <w:b w:val="0"/>
        <w:bCs w:val="0"/>
        <w:i w:val="0"/>
        <w:iCs w:val="0"/>
        <w:spacing w:val="-3"/>
        <w:w w:val="100"/>
        <w:sz w:val="24"/>
        <w:szCs w:val="24"/>
        <w:lang w:val="id" w:eastAsia="en-US" w:bidi="ar-SA"/>
      </w:rPr>
    </w:lvl>
    <w:lvl w:ilvl="3">
      <w:start w:val="0"/>
      <w:numFmt w:val="bullet"/>
      <w:lvlText w:val="•"/>
      <w:lvlJc w:val="left"/>
      <w:pPr>
        <w:ind w:left="3043" w:hanging="360"/>
      </w:pPr>
      <w:rPr>
        <w:rFonts w:hint="default"/>
        <w:lang w:val="id" w:eastAsia="en-US" w:bidi="ar-SA"/>
      </w:rPr>
    </w:lvl>
    <w:lvl w:ilvl="4">
      <w:start w:val="0"/>
      <w:numFmt w:val="bullet"/>
      <w:lvlText w:val="•"/>
      <w:lvlJc w:val="left"/>
      <w:pPr>
        <w:ind w:left="3925" w:hanging="360"/>
      </w:pPr>
      <w:rPr>
        <w:rFonts w:hint="default"/>
        <w:lang w:val="id" w:eastAsia="en-US" w:bidi="ar-SA"/>
      </w:rPr>
    </w:lvl>
    <w:lvl w:ilvl="5">
      <w:start w:val="0"/>
      <w:numFmt w:val="bullet"/>
      <w:lvlText w:val="•"/>
      <w:lvlJc w:val="left"/>
      <w:pPr>
        <w:ind w:left="4807" w:hanging="360"/>
      </w:pPr>
      <w:rPr>
        <w:rFonts w:hint="default"/>
        <w:lang w:val="id" w:eastAsia="en-US" w:bidi="ar-SA"/>
      </w:rPr>
    </w:lvl>
    <w:lvl w:ilvl="6">
      <w:start w:val="0"/>
      <w:numFmt w:val="bullet"/>
      <w:lvlText w:val="•"/>
      <w:lvlJc w:val="left"/>
      <w:pPr>
        <w:ind w:left="5689" w:hanging="360"/>
      </w:pPr>
      <w:rPr>
        <w:rFonts w:hint="default"/>
        <w:lang w:val="id" w:eastAsia="en-US" w:bidi="ar-SA"/>
      </w:rPr>
    </w:lvl>
    <w:lvl w:ilvl="7">
      <w:start w:val="0"/>
      <w:numFmt w:val="bullet"/>
      <w:lvlText w:val="•"/>
      <w:lvlJc w:val="left"/>
      <w:pPr>
        <w:ind w:left="6571" w:hanging="360"/>
      </w:pPr>
      <w:rPr>
        <w:rFonts w:hint="default"/>
        <w:lang w:val="id" w:eastAsia="en-US" w:bidi="ar-SA"/>
      </w:rPr>
    </w:lvl>
    <w:lvl w:ilvl="8">
      <w:start w:val="0"/>
      <w:numFmt w:val="bullet"/>
      <w:lvlText w:val="•"/>
      <w:lvlJc w:val="left"/>
      <w:pPr>
        <w:ind w:left="7453" w:hanging="360"/>
      </w:pPr>
      <w:rPr>
        <w:rFonts w:hint="default"/>
        <w:lang w:val="id" w:eastAsia="en-US" w:bidi="ar-SA"/>
      </w:rPr>
    </w:lvl>
  </w:abstractNum>
  <w:abstractNum w:abstractNumId="23">
    <w:multiLevelType w:val="hybridMultilevel"/>
    <w:lvl w:ilvl="0">
      <w:start w:val="1"/>
      <w:numFmt w:val="lowerLetter"/>
      <w:lvlText w:val="%1."/>
      <w:lvlJc w:val="left"/>
      <w:pPr>
        <w:ind w:left="993" w:hanging="360"/>
        <w:jc w:val="left"/>
      </w:pPr>
      <w:rPr>
        <w:rFonts w:hint="default" w:ascii="Segoe UI" w:hAnsi="Segoe UI" w:eastAsia="Segoe UI" w:cs="Segoe UI"/>
        <w:b w:val="0"/>
        <w:bCs w:val="0"/>
        <w:i w:val="0"/>
        <w:iCs w:val="0"/>
        <w:spacing w:val="-3"/>
        <w:w w:val="100"/>
        <w:sz w:val="24"/>
        <w:szCs w:val="24"/>
        <w:lang w:val="id" w:eastAsia="en-US" w:bidi="ar-SA"/>
      </w:rPr>
    </w:lvl>
    <w:lvl w:ilvl="1">
      <w:start w:val="0"/>
      <w:numFmt w:val="bullet"/>
      <w:lvlText w:val="•"/>
      <w:lvlJc w:val="left"/>
      <w:pPr>
        <w:ind w:left="1821" w:hanging="360"/>
      </w:pPr>
      <w:rPr>
        <w:rFonts w:hint="default"/>
        <w:lang w:val="id" w:eastAsia="en-US" w:bidi="ar-SA"/>
      </w:rPr>
    </w:lvl>
    <w:lvl w:ilvl="2">
      <w:start w:val="0"/>
      <w:numFmt w:val="bullet"/>
      <w:lvlText w:val="•"/>
      <w:lvlJc w:val="left"/>
      <w:pPr>
        <w:ind w:left="2643" w:hanging="360"/>
      </w:pPr>
      <w:rPr>
        <w:rFonts w:hint="default"/>
        <w:lang w:val="id" w:eastAsia="en-US" w:bidi="ar-SA"/>
      </w:rPr>
    </w:lvl>
    <w:lvl w:ilvl="3">
      <w:start w:val="0"/>
      <w:numFmt w:val="bullet"/>
      <w:lvlText w:val="•"/>
      <w:lvlJc w:val="left"/>
      <w:pPr>
        <w:ind w:left="3465" w:hanging="360"/>
      </w:pPr>
      <w:rPr>
        <w:rFonts w:hint="default"/>
        <w:lang w:val="id" w:eastAsia="en-US" w:bidi="ar-SA"/>
      </w:rPr>
    </w:lvl>
    <w:lvl w:ilvl="4">
      <w:start w:val="0"/>
      <w:numFmt w:val="bullet"/>
      <w:lvlText w:val="•"/>
      <w:lvlJc w:val="left"/>
      <w:pPr>
        <w:ind w:left="4286" w:hanging="360"/>
      </w:pPr>
      <w:rPr>
        <w:rFonts w:hint="default"/>
        <w:lang w:val="id" w:eastAsia="en-US" w:bidi="ar-SA"/>
      </w:rPr>
    </w:lvl>
    <w:lvl w:ilvl="5">
      <w:start w:val="0"/>
      <w:numFmt w:val="bullet"/>
      <w:lvlText w:val="•"/>
      <w:lvlJc w:val="left"/>
      <w:pPr>
        <w:ind w:left="5108"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51" w:hanging="360"/>
      </w:pPr>
      <w:rPr>
        <w:rFonts w:hint="default"/>
        <w:lang w:val="id" w:eastAsia="en-US" w:bidi="ar-SA"/>
      </w:rPr>
    </w:lvl>
    <w:lvl w:ilvl="8">
      <w:start w:val="0"/>
      <w:numFmt w:val="bullet"/>
      <w:lvlText w:val="•"/>
      <w:lvlJc w:val="left"/>
      <w:pPr>
        <w:ind w:left="7573" w:hanging="360"/>
      </w:pPr>
      <w:rPr>
        <w:rFonts w:hint="default"/>
        <w:lang w:val="id" w:eastAsia="en-US" w:bidi="ar-SA"/>
      </w:rPr>
    </w:lvl>
  </w:abstractNum>
  <w:abstractNum w:abstractNumId="22">
    <w:multiLevelType w:val="hybridMultilevel"/>
    <w:lvl w:ilvl="0">
      <w:start w:val="1"/>
      <w:numFmt w:val="lowerLetter"/>
      <w:lvlText w:val="%1."/>
      <w:lvlJc w:val="left"/>
      <w:pPr>
        <w:ind w:left="993" w:hanging="360"/>
        <w:jc w:val="left"/>
      </w:pPr>
      <w:rPr>
        <w:rFonts w:hint="default" w:ascii="Segoe UI" w:hAnsi="Segoe UI" w:eastAsia="Segoe UI" w:cs="Segoe UI"/>
        <w:b w:val="0"/>
        <w:bCs w:val="0"/>
        <w:i w:val="0"/>
        <w:iCs w:val="0"/>
        <w:spacing w:val="-3"/>
        <w:w w:val="100"/>
        <w:sz w:val="24"/>
        <w:szCs w:val="24"/>
        <w:lang w:val="id" w:eastAsia="en-US" w:bidi="ar-SA"/>
      </w:rPr>
    </w:lvl>
    <w:lvl w:ilvl="1">
      <w:start w:val="0"/>
      <w:numFmt w:val="bullet"/>
      <w:lvlText w:val="•"/>
      <w:lvlJc w:val="left"/>
      <w:pPr>
        <w:ind w:left="1821" w:hanging="360"/>
      </w:pPr>
      <w:rPr>
        <w:rFonts w:hint="default"/>
        <w:lang w:val="id" w:eastAsia="en-US" w:bidi="ar-SA"/>
      </w:rPr>
    </w:lvl>
    <w:lvl w:ilvl="2">
      <w:start w:val="0"/>
      <w:numFmt w:val="bullet"/>
      <w:lvlText w:val="•"/>
      <w:lvlJc w:val="left"/>
      <w:pPr>
        <w:ind w:left="2643" w:hanging="360"/>
      </w:pPr>
      <w:rPr>
        <w:rFonts w:hint="default"/>
        <w:lang w:val="id" w:eastAsia="en-US" w:bidi="ar-SA"/>
      </w:rPr>
    </w:lvl>
    <w:lvl w:ilvl="3">
      <w:start w:val="0"/>
      <w:numFmt w:val="bullet"/>
      <w:lvlText w:val="•"/>
      <w:lvlJc w:val="left"/>
      <w:pPr>
        <w:ind w:left="3465" w:hanging="360"/>
      </w:pPr>
      <w:rPr>
        <w:rFonts w:hint="default"/>
        <w:lang w:val="id" w:eastAsia="en-US" w:bidi="ar-SA"/>
      </w:rPr>
    </w:lvl>
    <w:lvl w:ilvl="4">
      <w:start w:val="0"/>
      <w:numFmt w:val="bullet"/>
      <w:lvlText w:val="•"/>
      <w:lvlJc w:val="left"/>
      <w:pPr>
        <w:ind w:left="4286" w:hanging="360"/>
      </w:pPr>
      <w:rPr>
        <w:rFonts w:hint="default"/>
        <w:lang w:val="id" w:eastAsia="en-US" w:bidi="ar-SA"/>
      </w:rPr>
    </w:lvl>
    <w:lvl w:ilvl="5">
      <w:start w:val="0"/>
      <w:numFmt w:val="bullet"/>
      <w:lvlText w:val="•"/>
      <w:lvlJc w:val="left"/>
      <w:pPr>
        <w:ind w:left="5108"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51" w:hanging="360"/>
      </w:pPr>
      <w:rPr>
        <w:rFonts w:hint="default"/>
        <w:lang w:val="id" w:eastAsia="en-US" w:bidi="ar-SA"/>
      </w:rPr>
    </w:lvl>
    <w:lvl w:ilvl="8">
      <w:start w:val="0"/>
      <w:numFmt w:val="bullet"/>
      <w:lvlText w:val="•"/>
      <w:lvlJc w:val="left"/>
      <w:pPr>
        <w:ind w:left="7573" w:hanging="360"/>
      </w:pPr>
      <w:rPr>
        <w:rFonts w:hint="default"/>
        <w:lang w:val="id" w:eastAsia="en-US" w:bidi="ar-SA"/>
      </w:rPr>
    </w:lvl>
  </w:abstractNum>
  <w:abstractNum w:abstractNumId="21">
    <w:multiLevelType w:val="hybridMultilevel"/>
    <w:lvl w:ilvl="0">
      <w:start w:val="1"/>
      <w:numFmt w:val="lowerLetter"/>
      <w:lvlText w:val="%1."/>
      <w:lvlJc w:val="left"/>
      <w:pPr>
        <w:ind w:left="993" w:hanging="360"/>
        <w:jc w:val="left"/>
      </w:pPr>
      <w:rPr>
        <w:rFonts w:hint="default" w:ascii="Segoe UI" w:hAnsi="Segoe UI" w:eastAsia="Segoe UI" w:cs="Segoe UI"/>
        <w:b w:val="0"/>
        <w:bCs w:val="0"/>
        <w:i w:val="0"/>
        <w:iCs w:val="0"/>
        <w:spacing w:val="-3"/>
        <w:w w:val="100"/>
        <w:sz w:val="24"/>
        <w:szCs w:val="24"/>
        <w:lang w:val="id" w:eastAsia="en-US" w:bidi="ar-SA"/>
      </w:rPr>
    </w:lvl>
    <w:lvl w:ilvl="1">
      <w:start w:val="0"/>
      <w:numFmt w:val="bullet"/>
      <w:lvlText w:val="•"/>
      <w:lvlJc w:val="left"/>
      <w:pPr>
        <w:ind w:left="1821" w:hanging="360"/>
      </w:pPr>
      <w:rPr>
        <w:rFonts w:hint="default"/>
        <w:lang w:val="id" w:eastAsia="en-US" w:bidi="ar-SA"/>
      </w:rPr>
    </w:lvl>
    <w:lvl w:ilvl="2">
      <w:start w:val="0"/>
      <w:numFmt w:val="bullet"/>
      <w:lvlText w:val="•"/>
      <w:lvlJc w:val="left"/>
      <w:pPr>
        <w:ind w:left="2643" w:hanging="360"/>
      </w:pPr>
      <w:rPr>
        <w:rFonts w:hint="default"/>
        <w:lang w:val="id" w:eastAsia="en-US" w:bidi="ar-SA"/>
      </w:rPr>
    </w:lvl>
    <w:lvl w:ilvl="3">
      <w:start w:val="0"/>
      <w:numFmt w:val="bullet"/>
      <w:lvlText w:val="•"/>
      <w:lvlJc w:val="left"/>
      <w:pPr>
        <w:ind w:left="3465" w:hanging="360"/>
      </w:pPr>
      <w:rPr>
        <w:rFonts w:hint="default"/>
        <w:lang w:val="id" w:eastAsia="en-US" w:bidi="ar-SA"/>
      </w:rPr>
    </w:lvl>
    <w:lvl w:ilvl="4">
      <w:start w:val="0"/>
      <w:numFmt w:val="bullet"/>
      <w:lvlText w:val="•"/>
      <w:lvlJc w:val="left"/>
      <w:pPr>
        <w:ind w:left="4286" w:hanging="360"/>
      </w:pPr>
      <w:rPr>
        <w:rFonts w:hint="default"/>
        <w:lang w:val="id" w:eastAsia="en-US" w:bidi="ar-SA"/>
      </w:rPr>
    </w:lvl>
    <w:lvl w:ilvl="5">
      <w:start w:val="0"/>
      <w:numFmt w:val="bullet"/>
      <w:lvlText w:val="•"/>
      <w:lvlJc w:val="left"/>
      <w:pPr>
        <w:ind w:left="5108"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51" w:hanging="360"/>
      </w:pPr>
      <w:rPr>
        <w:rFonts w:hint="default"/>
        <w:lang w:val="id" w:eastAsia="en-US" w:bidi="ar-SA"/>
      </w:rPr>
    </w:lvl>
    <w:lvl w:ilvl="8">
      <w:start w:val="0"/>
      <w:numFmt w:val="bullet"/>
      <w:lvlText w:val="•"/>
      <w:lvlJc w:val="left"/>
      <w:pPr>
        <w:ind w:left="7573" w:hanging="360"/>
      </w:pPr>
      <w:rPr>
        <w:rFonts w:hint="default"/>
        <w:lang w:val="id" w:eastAsia="en-US" w:bidi="ar-SA"/>
      </w:rPr>
    </w:lvl>
  </w:abstractNum>
  <w:abstractNum w:abstractNumId="20">
    <w:multiLevelType w:val="hybridMultilevel"/>
    <w:lvl w:ilvl="0">
      <w:start w:val="1"/>
      <w:numFmt w:val="lowerLetter"/>
      <w:lvlText w:val="%1."/>
      <w:lvlJc w:val="left"/>
      <w:pPr>
        <w:ind w:left="993" w:hanging="360"/>
        <w:jc w:val="left"/>
      </w:pPr>
      <w:rPr>
        <w:rFonts w:hint="default" w:ascii="Segoe UI" w:hAnsi="Segoe UI" w:eastAsia="Segoe UI" w:cs="Segoe UI"/>
        <w:b w:val="0"/>
        <w:bCs w:val="0"/>
        <w:i w:val="0"/>
        <w:iCs w:val="0"/>
        <w:spacing w:val="-3"/>
        <w:w w:val="100"/>
        <w:sz w:val="24"/>
        <w:szCs w:val="24"/>
        <w:lang w:val="id" w:eastAsia="en-US" w:bidi="ar-SA"/>
      </w:rPr>
    </w:lvl>
    <w:lvl w:ilvl="1">
      <w:start w:val="0"/>
      <w:numFmt w:val="bullet"/>
      <w:lvlText w:val="•"/>
      <w:lvlJc w:val="left"/>
      <w:pPr>
        <w:ind w:left="1821" w:hanging="360"/>
      </w:pPr>
      <w:rPr>
        <w:rFonts w:hint="default"/>
        <w:lang w:val="id" w:eastAsia="en-US" w:bidi="ar-SA"/>
      </w:rPr>
    </w:lvl>
    <w:lvl w:ilvl="2">
      <w:start w:val="0"/>
      <w:numFmt w:val="bullet"/>
      <w:lvlText w:val="•"/>
      <w:lvlJc w:val="left"/>
      <w:pPr>
        <w:ind w:left="2643" w:hanging="360"/>
      </w:pPr>
      <w:rPr>
        <w:rFonts w:hint="default"/>
        <w:lang w:val="id" w:eastAsia="en-US" w:bidi="ar-SA"/>
      </w:rPr>
    </w:lvl>
    <w:lvl w:ilvl="3">
      <w:start w:val="0"/>
      <w:numFmt w:val="bullet"/>
      <w:lvlText w:val="•"/>
      <w:lvlJc w:val="left"/>
      <w:pPr>
        <w:ind w:left="3465" w:hanging="360"/>
      </w:pPr>
      <w:rPr>
        <w:rFonts w:hint="default"/>
        <w:lang w:val="id" w:eastAsia="en-US" w:bidi="ar-SA"/>
      </w:rPr>
    </w:lvl>
    <w:lvl w:ilvl="4">
      <w:start w:val="0"/>
      <w:numFmt w:val="bullet"/>
      <w:lvlText w:val="•"/>
      <w:lvlJc w:val="left"/>
      <w:pPr>
        <w:ind w:left="4286" w:hanging="360"/>
      </w:pPr>
      <w:rPr>
        <w:rFonts w:hint="default"/>
        <w:lang w:val="id" w:eastAsia="en-US" w:bidi="ar-SA"/>
      </w:rPr>
    </w:lvl>
    <w:lvl w:ilvl="5">
      <w:start w:val="0"/>
      <w:numFmt w:val="bullet"/>
      <w:lvlText w:val="•"/>
      <w:lvlJc w:val="left"/>
      <w:pPr>
        <w:ind w:left="5108"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51" w:hanging="360"/>
      </w:pPr>
      <w:rPr>
        <w:rFonts w:hint="default"/>
        <w:lang w:val="id" w:eastAsia="en-US" w:bidi="ar-SA"/>
      </w:rPr>
    </w:lvl>
    <w:lvl w:ilvl="8">
      <w:start w:val="0"/>
      <w:numFmt w:val="bullet"/>
      <w:lvlText w:val="•"/>
      <w:lvlJc w:val="left"/>
      <w:pPr>
        <w:ind w:left="7573" w:hanging="360"/>
      </w:pPr>
      <w:rPr>
        <w:rFonts w:hint="default"/>
        <w:lang w:val="id" w:eastAsia="en-US" w:bidi="ar-SA"/>
      </w:rPr>
    </w:lvl>
  </w:abstractNum>
  <w:abstractNum w:abstractNumId="19">
    <w:multiLevelType w:val="hybridMultilevel"/>
    <w:lvl w:ilvl="0">
      <w:start w:val="1"/>
      <w:numFmt w:val="decimal"/>
      <w:lvlText w:val="%1."/>
      <w:lvlJc w:val="left"/>
      <w:pPr>
        <w:ind w:left="1277" w:hanging="284"/>
        <w:jc w:val="left"/>
      </w:pPr>
      <w:rPr>
        <w:rFonts w:hint="default" w:ascii="Segoe UI" w:hAnsi="Segoe UI" w:eastAsia="Segoe UI" w:cs="Segoe UI"/>
        <w:b w:val="0"/>
        <w:bCs w:val="0"/>
        <w:i w:val="0"/>
        <w:iCs w:val="0"/>
        <w:spacing w:val="0"/>
        <w:w w:val="100"/>
        <w:sz w:val="24"/>
        <w:szCs w:val="24"/>
        <w:lang w:val="id" w:eastAsia="en-US" w:bidi="ar-SA"/>
      </w:rPr>
    </w:lvl>
    <w:lvl w:ilvl="1">
      <w:start w:val="0"/>
      <w:numFmt w:val="bullet"/>
      <w:lvlText w:val="•"/>
      <w:lvlJc w:val="left"/>
      <w:pPr>
        <w:ind w:left="2073" w:hanging="284"/>
      </w:pPr>
      <w:rPr>
        <w:rFonts w:hint="default"/>
        <w:lang w:val="id" w:eastAsia="en-US" w:bidi="ar-SA"/>
      </w:rPr>
    </w:lvl>
    <w:lvl w:ilvl="2">
      <w:start w:val="0"/>
      <w:numFmt w:val="bullet"/>
      <w:lvlText w:val="•"/>
      <w:lvlJc w:val="left"/>
      <w:pPr>
        <w:ind w:left="2867" w:hanging="284"/>
      </w:pPr>
      <w:rPr>
        <w:rFonts w:hint="default"/>
        <w:lang w:val="id" w:eastAsia="en-US" w:bidi="ar-SA"/>
      </w:rPr>
    </w:lvl>
    <w:lvl w:ilvl="3">
      <w:start w:val="0"/>
      <w:numFmt w:val="bullet"/>
      <w:lvlText w:val="•"/>
      <w:lvlJc w:val="left"/>
      <w:pPr>
        <w:ind w:left="3661" w:hanging="284"/>
      </w:pPr>
      <w:rPr>
        <w:rFonts w:hint="default"/>
        <w:lang w:val="id" w:eastAsia="en-US" w:bidi="ar-SA"/>
      </w:rPr>
    </w:lvl>
    <w:lvl w:ilvl="4">
      <w:start w:val="0"/>
      <w:numFmt w:val="bullet"/>
      <w:lvlText w:val="•"/>
      <w:lvlJc w:val="left"/>
      <w:pPr>
        <w:ind w:left="4454" w:hanging="284"/>
      </w:pPr>
      <w:rPr>
        <w:rFonts w:hint="default"/>
        <w:lang w:val="id" w:eastAsia="en-US" w:bidi="ar-SA"/>
      </w:rPr>
    </w:lvl>
    <w:lvl w:ilvl="5">
      <w:start w:val="0"/>
      <w:numFmt w:val="bullet"/>
      <w:lvlText w:val="•"/>
      <w:lvlJc w:val="left"/>
      <w:pPr>
        <w:ind w:left="5248" w:hanging="284"/>
      </w:pPr>
      <w:rPr>
        <w:rFonts w:hint="default"/>
        <w:lang w:val="id" w:eastAsia="en-US" w:bidi="ar-SA"/>
      </w:rPr>
    </w:lvl>
    <w:lvl w:ilvl="6">
      <w:start w:val="0"/>
      <w:numFmt w:val="bullet"/>
      <w:lvlText w:val="•"/>
      <w:lvlJc w:val="left"/>
      <w:pPr>
        <w:ind w:left="6042" w:hanging="284"/>
      </w:pPr>
      <w:rPr>
        <w:rFonts w:hint="default"/>
        <w:lang w:val="id" w:eastAsia="en-US" w:bidi="ar-SA"/>
      </w:rPr>
    </w:lvl>
    <w:lvl w:ilvl="7">
      <w:start w:val="0"/>
      <w:numFmt w:val="bullet"/>
      <w:lvlText w:val="•"/>
      <w:lvlJc w:val="left"/>
      <w:pPr>
        <w:ind w:left="6835" w:hanging="284"/>
      </w:pPr>
      <w:rPr>
        <w:rFonts w:hint="default"/>
        <w:lang w:val="id" w:eastAsia="en-US" w:bidi="ar-SA"/>
      </w:rPr>
    </w:lvl>
    <w:lvl w:ilvl="8">
      <w:start w:val="0"/>
      <w:numFmt w:val="bullet"/>
      <w:lvlText w:val="•"/>
      <w:lvlJc w:val="left"/>
      <w:pPr>
        <w:ind w:left="7629" w:hanging="284"/>
      </w:pPr>
      <w:rPr>
        <w:rFonts w:hint="default"/>
        <w:lang w:val="id" w:eastAsia="en-US" w:bidi="ar-SA"/>
      </w:rPr>
    </w:lvl>
  </w:abstractNum>
  <w:abstractNum w:abstractNumId="18">
    <w:multiLevelType w:val="hybridMultilevel"/>
    <w:lvl w:ilvl="0">
      <w:start w:val="1"/>
      <w:numFmt w:val="decimal"/>
      <w:lvlText w:val="%1."/>
      <w:lvlJc w:val="left"/>
      <w:pPr>
        <w:ind w:left="993" w:hanging="360"/>
        <w:jc w:val="left"/>
      </w:pPr>
      <w:rPr>
        <w:rFonts w:hint="default" w:ascii="Segoe UI" w:hAnsi="Segoe UI" w:eastAsia="Segoe UI" w:cs="Segoe UI"/>
        <w:b w:val="0"/>
        <w:bCs w:val="0"/>
        <w:i w:val="0"/>
        <w:iCs w:val="0"/>
        <w:spacing w:val="0"/>
        <w:w w:val="100"/>
        <w:sz w:val="24"/>
        <w:szCs w:val="24"/>
        <w:lang w:val="id" w:eastAsia="en-US" w:bidi="ar-SA"/>
      </w:rPr>
    </w:lvl>
    <w:lvl w:ilvl="1">
      <w:start w:val="0"/>
      <w:numFmt w:val="bullet"/>
      <w:lvlText w:val="•"/>
      <w:lvlJc w:val="left"/>
      <w:pPr>
        <w:ind w:left="1821" w:hanging="360"/>
      </w:pPr>
      <w:rPr>
        <w:rFonts w:hint="default"/>
        <w:lang w:val="id" w:eastAsia="en-US" w:bidi="ar-SA"/>
      </w:rPr>
    </w:lvl>
    <w:lvl w:ilvl="2">
      <w:start w:val="0"/>
      <w:numFmt w:val="bullet"/>
      <w:lvlText w:val="•"/>
      <w:lvlJc w:val="left"/>
      <w:pPr>
        <w:ind w:left="2643" w:hanging="360"/>
      </w:pPr>
      <w:rPr>
        <w:rFonts w:hint="default"/>
        <w:lang w:val="id" w:eastAsia="en-US" w:bidi="ar-SA"/>
      </w:rPr>
    </w:lvl>
    <w:lvl w:ilvl="3">
      <w:start w:val="0"/>
      <w:numFmt w:val="bullet"/>
      <w:lvlText w:val="•"/>
      <w:lvlJc w:val="left"/>
      <w:pPr>
        <w:ind w:left="3465" w:hanging="360"/>
      </w:pPr>
      <w:rPr>
        <w:rFonts w:hint="default"/>
        <w:lang w:val="id" w:eastAsia="en-US" w:bidi="ar-SA"/>
      </w:rPr>
    </w:lvl>
    <w:lvl w:ilvl="4">
      <w:start w:val="0"/>
      <w:numFmt w:val="bullet"/>
      <w:lvlText w:val="•"/>
      <w:lvlJc w:val="left"/>
      <w:pPr>
        <w:ind w:left="4286" w:hanging="360"/>
      </w:pPr>
      <w:rPr>
        <w:rFonts w:hint="default"/>
        <w:lang w:val="id" w:eastAsia="en-US" w:bidi="ar-SA"/>
      </w:rPr>
    </w:lvl>
    <w:lvl w:ilvl="5">
      <w:start w:val="0"/>
      <w:numFmt w:val="bullet"/>
      <w:lvlText w:val="•"/>
      <w:lvlJc w:val="left"/>
      <w:pPr>
        <w:ind w:left="5108"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51" w:hanging="360"/>
      </w:pPr>
      <w:rPr>
        <w:rFonts w:hint="default"/>
        <w:lang w:val="id" w:eastAsia="en-US" w:bidi="ar-SA"/>
      </w:rPr>
    </w:lvl>
    <w:lvl w:ilvl="8">
      <w:start w:val="0"/>
      <w:numFmt w:val="bullet"/>
      <w:lvlText w:val="•"/>
      <w:lvlJc w:val="left"/>
      <w:pPr>
        <w:ind w:left="7573" w:hanging="360"/>
      </w:pPr>
      <w:rPr>
        <w:rFonts w:hint="default"/>
        <w:lang w:val="id" w:eastAsia="en-US" w:bidi="ar-SA"/>
      </w:rPr>
    </w:lvl>
  </w:abstractNum>
  <w:abstractNum w:abstractNumId="17">
    <w:multiLevelType w:val="hybridMultilevel"/>
    <w:lvl w:ilvl="0">
      <w:start w:val="1"/>
      <w:numFmt w:val="decimal"/>
      <w:lvlText w:val="%1)"/>
      <w:lvlJc w:val="left"/>
      <w:pPr>
        <w:ind w:left="1848" w:hanging="360"/>
        <w:jc w:val="left"/>
      </w:pPr>
      <w:rPr>
        <w:rFonts w:hint="default" w:ascii="Calibri" w:hAnsi="Calibri" w:eastAsia="Calibri" w:cs="Calibri"/>
        <w:b/>
        <w:bCs/>
        <w:i w:val="0"/>
        <w:iCs w:val="0"/>
        <w:spacing w:val="-2"/>
        <w:w w:val="100"/>
        <w:sz w:val="24"/>
        <w:szCs w:val="24"/>
        <w:lang w:val="id" w:eastAsia="en-US" w:bidi="ar-SA"/>
      </w:rPr>
    </w:lvl>
    <w:lvl w:ilvl="1">
      <w:start w:val="0"/>
      <w:numFmt w:val="bullet"/>
      <w:lvlText w:val="•"/>
      <w:lvlJc w:val="left"/>
      <w:pPr>
        <w:ind w:left="2577" w:hanging="360"/>
      </w:pPr>
      <w:rPr>
        <w:rFonts w:hint="default"/>
        <w:lang w:val="id" w:eastAsia="en-US" w:bidi="ar-SA"/>
      </w:rPr>
    </w:lvl>
    <w:lvl w:ilvl="2">
      <w:start w:val="0"/>
      <w:numFmt w:val="bullet"/>
      <w:lvlText w:val="•"/>
      <w:lvlJc w:val="left"/>
      <w:pPr>
        <w:ind w:left="3315" w:hanging="360"/>
      </w:pPr>
      <w:rPr>
        <w:rFonts w:hint="default"/>
        <w:lang w:val="id" w:eastAsia="en-US" w:bidi="ar-SA"/>
      </w:rPr>
    </w:lvl>
    <w:lvl w:ilvl="3">
      <w:start w:val="0"/>
      <w:numFmt w:val="bullet"/>
      <w:lvlText w:val="•"/>
      <w:lvlJc w:val="left"/>
      <w:pPr>
        <w:ind w:left="4053" w:hanging="360"/>
      </w:pPr>
      <w:rPr>
        <w:rFonts w:hint="default"/>
        <w:lang w:val="id" w:eastAsia="en-US" w:bidi="ar-SA"/>
      </w:rPr>
    </w:lvl>
    <w:lvl w:ilvl="4">
      <w:start w:val="0"/>
      <w:numFmt w:val="bullet"/>
      <w:lvlText w:val="•"/>
      <w:lvlJc w:val="left"/>
      <w:pPr>
        <w:ind w:left="4790" w:hanging="360"/>
      </w:pPr>
      <w:rPr>
        <w:rFonts w:hint="default"/>
        <w:lang w:val="id" w:eastAsia="en-US" w:bidi="ar-SA"/>
      </w:rPr>
    </w:lvl>
    <w:lvl w:ilvl="5">
      <w:start w:val="0"/>
      <w:numFmt w:val="bullet"/>
      <w:lvlText w:val="•"/>
      <w:lvlJc w:val="left"/>
      <w:pPr>
        <w:ind w:left="5528" w:hanging="360"/>
      </w:pPr>
      <w:rPr>
        <w:rFonts w:hint="default"/>
        <w:lang w:val="id" w:eastAsia="en-US" w:bidi="ar-SA"/>
      </w:rPr>
    </w:lvl>
    <w:lvl w:ilvl="6">
      <w:start w:val="0"/>
      <w:numFmt w:val="bullet"/>
      <w:lvlText w:val="•"/>
      <w:lvlJc w:val="left"/>
      <w:pPr>
        <w:ind w:left="6266" w:hanging="360"/>
      </w:pPr>
      <w:rPr>
        <w:rFonts w:hint="default"/>
        <w:lang w:val="id" w:eastAsia="en-US" w:bidi="ar-SA"/>
      </w:rPr>
    </w:lvl>
    <w:lvl w:ilvl="7">
      <w:start w:val="0"/>
      <w:numFmt w:val="bullet"/>
      <w:lvlText w:val="•"/>
      <w:lvlJc w:val="left"/>
      <w:pPr>
        <w:ind w:left="7003" w:hanging="360"/>
      </w:pPr>
      <w:rPr>
        <w:rFonts w:hint="default"/>
        <w:lang w:val="id" w:eastAsia="en-US" w:bidi="ar-SA"/>
      </w:rPr>
    </w:lvl>
    <w:lvl w:ilvl="8">
      <w:start w:val="0"/>
      <w:numFmt w:val="bullet"/>
      <w:lvlText w:val="•"/>
      <w:lvlJc w:val="left"/>
      <w:pPr>
        <w:ind w:left="7741" w:hanging="360"/>
      </w:pPr>
      <w:rPr>
        <w:rFonts w:hint="default"/>
        <w:lang w:val="id" w:eastAsia="en-US" w:bidi="ar-SA"/>
      </w:rPr>
    </w:lvl>
  </w:abstractNum>
  <w:abstractNum w:abstractNumId="16">
    <w:multiLevelType w:val="hybridMultilevel"/>
    <w:lvl w:ilvl="0">
      <w:start w:val="2"/>
      <w:numFmt w:val="decimal"/>
      <w:lvlText w:val="%1)"/>
      <w:lvlJc w:val="left"/>
      <w:pPr>
        <w:ind w:left="1848" w:hanging="360"/>
        <w:jc w:val="right"/>
      </w:pPr>
      <w:rPr>
        <w:rFonts w:hint="default" w:ascii="Calibri" w:hAnsi="Calibri" w:eastAsia="Calibri" w:cs="Calibri"/>
        <w:b/>
        <w:bCs/>
        <w:i w:val="0"/>
        <w:iCs w:val="0"/>
        <w:spacing w:val="-2"/>
        <w:w w:val="100"/>
        <w:sz w:val="24"/>
        <w:szCs w:val="24"/>
        <w:lang w:val="id" w:eastAsia="en-US" w:bidi="ar-SA"/>
      </w:rPr>
    </w:lvl>
    <w:lvl w:ilvl="1">
      <w:start w:val="0"/>
      <w:numFmt w:val="bullet"/>
      <w:lvlText w:val="•"/>
      <w:lvlJc w:val="left"/>
      <w:pPr>
        <w:ind w:left="2577" w:hanging="360"/>
      </w:pPr>
      <w:rPr>
        <w:rFonts w:hint="default"/>
        <w:lang w:val="id" w:eastAsia="en-US" w:bidi="ar-SA"/>
      </w:rPr>
    </w:lvl>
    <w:lvl w:ilvl="2">
      <w:start w:val="0"/>
      <w:numFmt w:val="bullet"/>
      <w:lvlText w:val="•"/>
      <w:lvlJc w:val="left"/>
      <w:pPr>
        <w:ind w:left="3315" w:hanging="360"/>
      </w:pPr>
      <w:rPr>
        <w:rFonts w:hint="default"/>
        <w:lang w:val="id" w:eastAsia="en-US" w:bidi="ar-SA"/>
      </w:rPr>
    </w:lvl>
    <w:lvl w:ilvl="3">
      <w:start w:val="0"/>
      <w:numFmt w:val="bullet"/>
      <w:lvlText w:val="•"/>
      <w:lvlJc w:val="left"/>
      <w:pPr>
        <w:ind w:left="4053" w:hanging="360"/>
      </w:pPr>
      <w:rPr>
        <w:rFonts w:hint="default"/>
        <w:lang w:val="id" w:eastAsia="en-US" w:bidi="ar-SA"/>
      </w:rPr>
    </w:lvl>
    <w:lvl w:ilvl="4">
      <w:start w:val="0"/>
      <w:numFmt w:val="bullet"/>
      <w:lvlText w:val="•"/>
      <w:lvlJc w:val="left"/>
      <w:pPr>
        <w:ind w:left="4790" w:hanging="360"/>
      </w:pPr>
      <w:rPr>
        <w:rFonts w:hint="default"/>
        <w:lang w:val="id" w:eastAsia="en-US" w:bidi="ar-SA"/>
      </w:rPr>
    </w:lvl>
    <w:lvl w:ilvl="5">
      <w:start w:val="0"/>
      <w:numFmt w:val="bullet"/>
      <w:lvlText w:val="•"/>
      <w:lvlJc w:val="left"/>
      <w:pPr>
        <w:ind w:left="5528" w:hanging="360"/>
      </w:pPr>
      <w:rPr>
        <w:rFonts w:hint="default"/>
        <w:lang w:val="id" w:eastAsia="en-US" w:bidi="ar-SA"/>
      </w:rPr>
    </w:lvl>
    <w:lvl w:ilvl="6">
      <w:start w:val="0"/>
      <w:numFmt w:val="bullet"/>
      <w:lvlText w:val="•"/>
      <w:lvlJc w:val="left"/>
      <w:pPr>
        <w:ind w:left="6266" w:hanging="360"/>
      </w:pPr>
      <w:rPr>
        <w:rFonts w:hint="default"/>
        <w:lang w:val="id" w:eastAsia="en-US" w:bidi="ar-SA"/>
      </w:rPr>
    </w:lvl>
    <w:lvl w:ilvl="7">
      <w:start w:val="0"/>
      <w:numFmt w:val="bullet"/>
      <w:lvlText w:val="•"/>
      <w:lvlJc w:val="left"/>
      <w:pPr>
        <w:ind w:left="7003" w:hanging="360"/>
      </w:pPr>
      <w:rPr>
        <w:rFonts w:hint="default"/>
        <w:lang w:val="id" w:eastAsia="en-US" w:bidi="ar-SA"/>
      </w:rPr>
    </w:lvl>
    <w:lvl w:ilvl="8">
      <w:start w:val="0"/>
      <w:numFmt w:val="bullet"/>
      <w:lvlText w:val="•"/>
      <w:lvlJc w:val="left"/>
      <w:pPr>
        <w:ind w:left="7741" w:hanging="360"/>
      </w:pPr>
      <w:rPr>
        <w:rFonts w:hint="default"/>
        <w:lang w:val="id" w:eastAsia="en-US" w:bidi="ar-SA"/>
      </w:rPr>
    </w:lvl>
  </w:abstractNum>
  <w:abstractNum w:abstractNumId="15">
    <w:multiLevelType w:val="hybridMultilevel"/>
    <w:lvl w:ilvl="0">
      <w:start w:val="1"/>
      <w:numFmt w:val="lowerLetter"/>
      <w:lvlText w:val="%1."/>
      <w:lvlJc w:val="left"/>
      <w:pPr>
        <w:ind w:left="701" w:hanging="567"/>
        <w:jc w:val="left"/>
      </w:pPr>
      <w:rPr>
        <w:rFonts w:hint="default" w:ascii="Segoe UI" w:hAnsi="Segoe UI" w:eastAsia="Segoe UI" w:cs="Segoe UI"/>
        <w:b w:val="0"/>
        <w:bCs w:val="0"/>
        <w:i w:val="0"/>
        <w:iCs w:val="0"/>
        <w:spacing w:val="-3"/>
        <w:w w:val="96"/>
        <w:sz w:val="22"/>
        <w:szCs w:val="22"/>
        <w:lang w:val="id" w:eastAsia="en-US" w:bidi="ar-SA"/>
      </w:rPr>
    </w:lvl>
    <w:lvl w:ilvl="1">
      <w:start w:val="0"/>
      <w:numFmt w:val="bullet"/>
      <w:lvlText w:val="•"/>
      <w:lvlJc w:val="left"/>
      <w:pPr>
        <w:ind w:left="822" w:hanging="567"/>
      </w:pPr>
      <w:rPr>
        <w:rFonts w:hint="default"/>
        <w:lang w:val="id" w:eastAsia="en-US" w:bidi="ar-SA"/>
      </w:rPr>
    </w:lvl>
    <w:lvl w:ilvl="2">
      <w:start w:val="0"/>
      <w:numFmt w:val="bullet"/>
      <w:lvlText w:val="•"/>
      <w:lvlJc w:val="left"/>
      <w:pPr>
        <w:ind w:left="944" w:hanging="567"/>
      </w:pPr>
      <w:rPr>
        <w:rFonts w:hint="default"/>
        <w:lang w:val="id" w:eastAsia="en-US" w:bidi="ar-SA"/>
      </w:rPr>
    </w:lvl>
    <w:lvl w:ilvl="3">
      <w:start w:val="0"/>
      <w:numFmt w:val="bullet"/>
      <w:lvlText w:val="•"/>
      <w:lvlJc w:val="left"/>
      <w:pPr>
        <w:ind w:left="1066" w:hanging="567"/>
      </w:pPr>
      <w:rPr>
        <w:rFonts w:hint="default"/>
        <w:lang w:val="id" w:eastAsia="en-US" w:bidi="ar-SA"/>
      </w:rPr>
    </w:lvl>
    <w:lvl w:ilvl="4">
      <w:start w:val="0"/>
      <w:numFmt w:val="bullet"/>
      <w:lvlText w:val="•"/>
      <w:lvlJc w:val="left"/>
      <w:pPr>
        <w:ind w:left="1188" w:hanging="567"/>
      </w:pPr>
      <w:rPr>
        <w:rFonts w:hint="default"/>
        <w:lang w:val="id" w:eastAsia="en-US" w:bidi="ar-SA"/>
      </w:rPr>
    </w:lvl>
    <w:lvl w:ilvl="5">
      <w:start w:val="0"/>
      <w:numFmt w:val="bullet"/>
      <w:lvlText w:val="•"/>
      <w:lvlJc w:val="left"/>
      <w:pPr>
        <w:ind w:left="1310" w:hanging="567"/>
      </w:pPr>
      <w:rPr>
        <w:rFonts w:hint="default"/>
        <w:lang w:val="id" w:eastAsia="en-US" w:bidi="ar-SA"/>
      </w:rPr>
    </w:lvl>
    <w:lvl w:ilvl="6">
      <w:start w:val="0"/>
      <w:numFmt w:val="bullet"/>
      <w:lvlText w:val="•"/>
      <w:lvlJc w:val="left"/>
      <w:pPr>
        <w:ind w:left="1432" w:hanging="567"/>
      </w:pPr>
      <w:rPr>
        <w:rFonts w:hint="default"/>
        <w:lang w:val="id" w:eastAsia="en-US" w:bidi="ar-SA"/>
      </w:rPr>
    </w:lvl>
    <w:lvl w:ilvl="7">
      <w:start w:val="0"/>
      <w:numFmt w:val="bullet"/>
      <w:lvlText w:val="•"/>
      <w:lvlJc w:val="left"/>
      <w:pPr>
        <w:ind w:left="1554" w:hanging="567"/>
      </w:pPr>
      <w:rPr>
        <w:rFonts w:hint="default"/>
        <w:lang w:val="id" w:eastAsia="en-US" w:bidi="ar-SA"/>
      </w:rPr>
    </w:lvl>
    <w:lvl w:ilvl="8">
      <w:start w:val="0"/>
      <w:numFmt w:val="bullet"/>
      <w:lvlText w:val="•"/>
      <w:lvlJc w:val="left"/>
      <w:pPr>
        <w:ind w:left="1676" w:hanging="567"/>
      </w:pPr>
      <w:rPr>
        <w:rFonts w:hint="default"/>
        <w:lang w:val="id" w:eastAsia="en-US" w:bidi="ar-SA"/>
      </w:rPr>
    </w:lvl>
  </w:abstractNum>
  <w:abstractNum w:abstractNumId="14">
    <w:multiLevelType w:val="hybridMultilevel"/>
    <w:lvl w:ilvl="0">
      <w:start w:val="1"/>
      <w:numFmt w:val="lowerLetter"/>
      <w:lvlText w:val="%1."/>
      <w:lvlJc w:val="left"/>
      <w:pPr>
        <w:ind w:left="648" w:hanging="538"/>
        <w:jc w:val="left"/>
      </w:pPr>
      <w:rPr>
        <w:rFonts w:hint="default" w:ascii="Segoe UI" w:hAnsi="Segoe UI" w:eastAsia="Segoe UI" w:cs="Segoe UI"/>
        <w:b w:val="0"/>
        <w:bCs w:val="0"/>
        <w:i w:val="0"/>
        <w:iCs w:val="0"/>
        <w:spacing w:val="-3"/>
        <w:w w:val="96"/>
        <w:sz w:val="22"/>
        <w:szCs w:val="22"/>
        <w:lang w:val="id" w:eastAsia="en-US" w:bidi="ar-SA"/>
      </w:rPr>
    </w:lvl>
    <w:lvl w:ilvl="1">
      <w:start w:val="0"/>
      <w:numFmt w:val="bullet"/>
      <w:lvlText w:val="•"/>
      <w:lvlJc w:val="left"/>
      <w:pPr>
        <w:ind w:left="848" w:hanging="538"/>
      </w:pPr>
      <w:rPr>
        <w:rFonts w:hint="default"/>
        <w:lang w:val="id" w:eastAsia="en-US" w:bidi="ar-SA"/>
      </w:rPr>
    </w:lvl>
    <w:lvl w:ilvl="2">
      <w:start w:val="0"/>
      <w:numFmt w:val="bullet"/>
      <w:lvlText w:val="•"/>
      <w:lvlJc w:val="left"/>
      <w:pPr>
        <w:ind w:left="1057" w:hanging="538"/>
      </w:pPr>
      <w:rPr>
        <w:rFonts w:hint="default"/>
        <w:lang w:val="id" w:eastAsia="en-US" w:bidi="ar-SA"/>
      </w:rPr>
    </w:lvl>
    <w:lvl w:ilvl="3">
      <w:start w:val="0"/>
      <w:numFmt w:val="bullet"/>
      <w:lvlText w:val="•"/>
      <w:lvlJc w:val="left"/>
      <w:pPr>
        <w:ind w:left="1266" w:hanging="538"/>
      </w:pPr>
      <w:rPr>
        <w:rFonts w:hint="default"/>
        <w:lang w:val="id" w:eastAsia="en-US" w:bidi="ar-SA"/>
      </w:rPr>
    </w:lvl>
    <w:lvl w:ilvl="4">
      <w:start w:val="0"/>
      <w:numFmt w:val="bullet"/>
      <w:lvlText w:val="•"/>
      <w:lvlJc w:val="left"/>
      <w:pPr>
        <w:ind w:left="1474" w:hanging="538"/>
      </w:pPr>
      <w:rPr>
        <w:rFonts w:hint="default"/>
        <w:lang w:val="id" w:eastAsia="en-US" w:bidi="ar-SA"/>
      </w:rPr>
    </w:lvl>
    <w:lvl w:ilvl="5">
      <w:start w:val="0"/>
      <w:numFmt w:val="bullet"/>
      <w:lvlText w:val="•"/>
      <w:lvlJc w:val="left"/>
      <w:pPr>
        <w:ind w:left="1683" w:hanging="538"/>
      </w:pPr>
      <w:rPr>
        <w:rFonts w:hint="default"/>
        <w:lang w:val="id" w:eastAsia="en-US" w:bidi="ar-SA"/>
      </w:rPr>
    </w:lvl>
    <w:lvl w:ilvl="6">
      <w:start w:val="0"/>
      <w:numFmt w:val="bullet"/>
      <w:lvlText w:val="•"/>
      <w:lvlJc w:val="left"/>
      <w:pPr>
        <w:ind w:left="1892" w:hanging="538"/>
      </w:pPr>
      <w:rPr>
        <w:rFonts w:hint="default"/>
        <w:lang w:val="id" w:eastAsia="en-US" w:bidi="ar-SA"/>
      </w:rPr>
    </w:lvl>
    <w:lvl w:ilvl="7">
      <w:start w:val="0"/>
      <w:numFmt w:val="bullet"/>
      <w:lvlText w:val="•"/>
      <w:lvlJc w:val="left"/>
      <w:pPr>
        <w:ind w:left="2100" w:hanging="538"/>
      </w:pPr>
      <w:rPr>
        <w:rFonts w:hint="default"/>
        <w:lang w:val="id" w:eastAsia="en-US" w:bidi="ar-SA"/>
      </w:rPr>
    </w:lvl>
    <w:lvl w:ilvl="8">
      <w:start w:val="0"/>
      <w:numFmt w:val="bullet"/>
      <w:lvlText w:val="•"/>
      <w:lvlJc w:val="left"/>
      <w:pPr>
        <w:ind w:left="2309" w:hanging="538"/>
      </w:pPr>
      <w:rPr>
        <w:rFonts w:hint="default"/>
        <w:lang w:val="id" w:eastAsia="en-US" w:bidi="ar-SA"/>
      </w:rPr>
    </w:lvl>
  </w:abstractNum>
  <w:abstractNum w:abstractNumId="13">
    <w:multiLevelType w:val="hybridMultilevel"/>
    <w:lvl w:ilvl="0">
      <w:start w:val="1"/>
      <w:numFmt w:val="decimal"/>
      <w:lvlText w:val="%1."/>
      <w:lvlJc w:val="left"/>
      <w:pPr>
        <w:ind w:left="503" w:hanging="360"/>
        <w:jc w:val="left"/>
      </w:pPr>
      <w:rPr>
        <w:rFonts w:hint="default" w:ascii="Segoe UI" w:hAnsi="Segoe UI" w:eastAsia="Segoe UI" w:cs="Segoe UI"/>
        <w:b w:val="0"/>
        <w:bCs w:val="0"/>
        <w:i w:val="0"/>
        <w:iCs w:val="0"/>
        <w:spacing w:val="0"/>
        <w:w w:val="96"/>
        <w:sz w:val="22"/>
        <w:szCs w:val="22"/>
        <w:lang w:val="id" w:eastAsia="en-US" w:bidi="ar-SA"/>
      </w:rPr>
    </w:lvl>
    <w:lvl w:ilvl="1">
      <w:start w:val="0"/>
      <w:numFmt w:val="bullet"/>
      <w:lvlText w:val="•"/>
      <w:lvlJc w:val="left"/>
      <w:pPr>
        <w:ind w:left="767" w:hanging="360"/>
      </w:pPr>
      <w:rPr>
        <w:rFonts w:hint="default"/>
        <w:lang w:val="id" w:eastAsia="en-US" w:bidi="ar-SA"/>
      </w:rPr>
    </w:lvl>
    <w:lvl w:ilvl="2">
      <w:start w:val="0"/>
      <w:numFmt w:val="bullet"/>
      <w:lvlText w:val="•"/>
      <w:lvlJc w:val="left"/>
      <w:pPr>
        <w:ind w:left="1034" w:hanging="360"/>
      </w:pPr>
      <w:rPr>
        <w:rFonts w:hint="default"/>
        <w:lang w:val="id" w:eastAsia="en-US" w:bidi="ar-SA"/>
      </w:rPr>
    </w:lvl>
    <w:lvl w:ilvl="3">
      <w:start w:val="0"/>
      <w:numFmt w:val="bullet"/>
      <w:lvlText w:val="•"/>
      <w:lvlJc w:val="left"/>
      <w:pPr>
        <w:ind w:left="1301" w:hanging="360"/>
      </w:pPr>
      <w:rPr>
        <w:rFonts w:hint="default"/>
        <w:lang w:val="id" w:eastAsia="en-US" w:bidi="ar-SA"/>
      </w:rPr>
    </w:lvl>
    <w:lvl w:ilvl="4">
      <w:start w:val="0"/>
      <w:numFmt w:val="bullet"/>
      <w:lvlText w:val="•"/>
      <w:lvlJc w:val="left"/>
      <w:pPr>
        <w:ind w:left="1569" w:hanging="360"/>
      </w:pPr>
      <w:rPr>
        <w:rFonts w:hint="default"/>
        <w:lang w:val="id" w:eastAsia="en-US" w:bidi="ar-SA"/>
      </w:rPr>
    </w:lvl>
    <w:lvl w:ilvl="5">
      <w:start w:val="0"/>
      <w:numFmt w:val="bullet"/>
      <w:lvlText w:val="•"/>
      <w:lvlJc w:val="left"/>
      <w:pPr>
        <w:ind w:left="1836" w:hanging="360"/>
      </w:pPr>
      <w:rPr>
        <w:rFonts w:hint="default"/>
        <w:lang w:val="id" w:eastAsia="en-US" w:bidi="ar-SA"/>
      </w:rPr>
    </w:lvl>
    <w:lvl w:ilvl="6">
      <w:start w:val="0"/>
      <w:numFmt w:val="bullet"/>
      <w:lvlText w:val="•"/>
      <w:lvlJc w:val="left"/>
      <w:pPr>
        <w:ind w:left="2103" w:hanging="360"/>
      </w:pPr>
      <w:rPr>
        <w:rFonts w:hint="default"/>
        <w:lang w:val="id" w:eastAsia="en-US" w:bidi="ar-SA"/>
      </w:rPr>
    </w:lvl>
    <w:lvl w:ilvl="7">
      <w:start w:val="0"/>
      <w:numFmt w:val="bullet"/>
      <w:lvlText w:val="•"/>
      <w:lvlJc w:val="left"/>
      <w:pPr>
        <w:ind w:left="2371" w:hanging="360"/>
      </w:pPr>
      <w:rPr>
        <w:rFonts w:hint="default"/>
        <w:lang w:val="id" w:eastAsia="en-US" w:bidi="ar-SA"/>
      </w:rPr>
    </w:lvl>
    <w:lvl w:ilvl="8">
      <w:start w:val="0"/>
      <w:numFmt w:val="bullet"/>
      <w:lvlText w:val="•"/>
      <w:lvlJc w:val="left"/>
      <w:pPr>
        <w:ind w:left="2638" w:hanging="360"/>
      </w:pPr>
      <w:rPr>
        <w:rFonts w:hint="default"/>
        <w:lang w:val="id" w:eastAsia="en-US" w:bidi="ar-SA"/>
      </w:rPr>
    </w:lvl>
  </w:abstractNum>
  <w:abstractNum w:abstractNumId="12">
    <w:multiLevelType w:val="hybridMultilevel"/>
    <w:lvl w:ilvl="0">
      <w:start w:val="1"/>
      <w:numFmt w:val="decimal"/>
      <w:lvlText w:val="%1)"/>
      <w:lvlJc w:val="left"/>
      <w:pPr>
        <w:ind w:left="2007" w:hanging="303"/>
        <w:jc w:val="left"/>
      </w:pPr>
      <w:rPr>
        <w:rFonts w:hint="default" w:ascii="Segoe UI" w:hAnsi="Segoe UI" w:eastAsia="Segoe UI" w:cs="Segoe UI"/>
        <w:b w:val="0"/>
        <w:bCs w:val="0"/>
        <w:i w:val="0"/>
        <w:iCs w:val="0"/>
        <w:spacing w:val="0"/>
        <w:w w:val="100"/>
        <w:sz w:val="24"/>
        <w:szCs w:val="24"/>
        <w:lang w:val="id" w:eastAsia="en-US" w:bidi="ar-SA"/>
      </w:rPr>
    </w:lvl>
    <w:lvl w:ilvl="1">
      <w:start w:val="1"/>
      <w:numFmt w:val="lowerLetter"/>
      <w:lvlText w:val="%2."/>
      <w:lvlJc w:val="left"/>
      <w:pPr>
        <w:ind w:left="2271" w:hanging="284"/>
        <w:jc w:val="left"/>
      </w:pPr>
      <w:rPr>
        <w:rFonts w:hint="default" w:ascii="Segoe UI" w:hAnsi="Segoe UI" w:eastAsia="Segoe UI" w:cs="Segoe UI"/>
        <w:b w:val="0"/>
        <w:bCs w:val="0"/>
        <w:i w:val="0"/>
        <w:iCs w:val="0"/>
        <w:spacing w:val="-3"/>
        <w:w w:val="100"/>
        <w:sz w:val="24"/>
        <w:szCs w:val="24"/>
        <w:lang w:val="id" w:eastAsia="en-US" w:bidi="ar-SA"/>
      </w:rPr>
    </w:lvl>
    <w:lvl w:ilvl="2">
      <w:start w:val="0"/>
      <w:numFmt w:val="bullet"/>
      <w:lvlText w:val="•"/>
      <w:lvlJc w:val="left"/>
      <w:pPr>
        <w:ind w:left="2420" w:hanging="284"/>
      </w:pPr>
      <w:rPr>
        <w:rFonts w:hint="default"/>
        <w:lang w:val="id" w:eastAsia="en-US" w:bidi="ar-SA"/>
      </w:rPr>
    </w:lvl>
    <w:lvl w:ilvl="3">
      <w:start w:val="0"/>
      <w:numFmt w:val="bullet"/>
      <w:lvlText w:val="•"/>
      <w:lvlJc w:val="left"/>
      <w:pPr>
        <w:ind w:left="3269" w:hanging="284"/>
      </w:pPr>
      <w:rPr>
        <w:rFonts w:hint="default"/>
        <w:lang w:val="id" w:eastAsia="en-US" w:bidi="ar-SA"/>
      </w:rPr>
    </w:lvl>
    <w:lvl w:ilvl="4">
      <w:start w:val="0"/>
      <w:numFmt w:val="bullet"/>
      <w:lvlText w:val="•"/>
      <w:lvlJc w:val="left"/>
      <w:pPr>
        <w:ind w:left="4119" w:hanging="284"/>
      </w:pPr>
      <w:rPr>
        <w:rFonts w:hint="default"/>
        <w:lang w:val="id" w:eastAsia="en-US" w:bidi="ar-SA"/>
      </w:rPr>
    </w:lvl>
    <w:lvl w:ilvl="5">
      <w:start w:val="0"/>
      <w:numFmt w:val="bullet"/>
      <w:lvlText w:val="•"/>
      <w:lvlJc w:val="left"/>
      <w:pPr>
        <w:ind w:left="4968" w:hanging="284"/>
      </w:pPr>
      <w:rPr>
        <w:rFonts w:hint="default"/>
        <w:lang w:val="id" w:eastAsia="en-US" w:bidi="ar-SA"/>
      </w:rPr>
    </w:lvl>
    <w:lvl w:ilvl="6">
      <w:start w:val="0"/>
      <w:numFmt w:val="bullet"/>
      <w:lvlText w:val="•"/>
      <w:lvlJc w:val="left"/>
      <w:pPr>
        <w:ind w:left="5818" w:hanging="284"/>
      </w:pPr>
      <w:rPr>
        <w:rFonts w:hint="default"/>
        <w:lang w:val="id" w:eastAsia="en-US" w:bidi="ar-SA"/>
      </w:rPr>
    </w:lvl>
    <w:lvl w:ilvl="7">
      <w:start w:val="0"/>
      <w:numFmt w:val="bullet"/>
      <w:lvlText w:val="•"/>
      <w:lvlJc w:val="left"/>
      <w:pPr>
        <w:ind w:left="6668" w:hanging="284"/>
      </w:pPr>
      <w:rPr>
        <w:rFonts w:hint="default"/>
        <w:lang w:val="id" w:eastAsia="en-US" w:bidi="ar-SA"/>
      </w:rPr>
    </w:lvl>
    <w:lvl w:ilvl="8">
      <w:start w:val="0"/>
      <w:numFmt w:val="bullet"/>
      <w:lvlText w:val="•"/>
      <w:lvlJc w:val="left"/>
      <w:pPr>
        <w:ind w:left="7517" w:hanging="284"/>
      </w:pPr>
      <w:rPr>
        <w:rFonts w:hint="default"/>
        <w:lang w:val="id" w:eastAsia="en-US" w:bidi="ar-SA"/>
      </w:rPr>
    </w:lvl>
  </w:abstractNum>
  <w:abstractNum w:abstractNumId="11">
    <w:multiLevelType w:val="hybridMultilevel"/>
    <w:lvl w:ilvl="0">
      <w:start w:val="1"/>
      <w:numFmt w:val="decimal"/>
      <w:lvlText w:val="(%1)"/>
      <w:lvlJc w:val="left"/>
      <w:pPr>
        <w:ind w:left="2554" w:hanging="567"/>
        <w:jc w:val="left"/>
      </w:pPr>
      <w:rPr>
        <w:rFonts w:hint="default" w:ascii="Segoe UI" w:hAnsi="Segoe UI" w:eastAsia="Segoe UI" w:cs="Segoe UI"/>
        <w:b/>
        <w:bCs/>
        <w:i w:val="0"/>
        <w:iCs w:val="0"/>
        <w:spacing w:val="-3"/>
        <w:w w:val="100"/>
        <w:sz w:val="24"/>
        <w:szCs w:val="24"/>
        <w:lang w:val="id" w:eastAsia="en-US" w:bidi="ar-SA"/>
      </w:rPr>
    </w:lvl>
    <w:lvl w:ilvl="1">
      <w:start w:val="0"/>
      <w:numFmt w:val="bullet"/>
      <w:lvlText w:val="•"/>
      <w:lvlJc w:val="left"/>
      <w:pPr>
        <w:ind w:left="3225" w:hanging="567"/>
      </w:pPr>
      <w:rPr>
        <w:rFonts w:hint="default"/>
        <w:lang w:val="id" w:eastAsia="en-US" w:bidi="ar-SA"/>
      </w:rPr>
    </w:lvl>
    <w:lvl w:ilvl="2">
      <w:start w:val="0"/>
      <w:numFmt w:val="bullet"/>
      <w:lvlText w:val="•"/>
      <w:lvlJc w:val="left"/>
      <w:pPr>
        <w:ind w:left="3891" w:hanging="567"/>
      </w:pPr>
      <w:rPr>
        <w:rFonts w:hint="default"/>
        <w:lang w:val="id" w:eastAsia="en-US" w:bidi="ar-SA"/>
      </w:rPr>
    </w:lvl>
    <w:lvl w:ilvl="3">
      <w:start w:val="0"/>
      <w:numFmt w:val="bullet"/>
      <w:lvlText w:val="•"/>
      <w:lvlJc w:val="left"/>
      <w:pPr>
        <w:ind w:left="4557" w:hanging="567"/>
      </w:pPr>
      <w:rPr>
        <w:rFonts w:hint="default"/>
        <w:lang w:val="id" w:eastAsia="en-US" w:bidi="ar-SA"/>
      </w:rPr>
    </w:lvl>
    <w:lvl w:ilvl="4">
      <w:start w:val="0"/>
      <w:numFmt w:val="bullet"/>
      <w:lvlText w:val="•"/>
      <w:lvlJc w:val="left"/>
      <w:pPr>
        <w:ind w:left="5222" w:hanging="567"/>
      </w:pPr>
      <w:rPr>
        <w:rFonts w:hint="default"/>
        <w:lang w:val="id" w:eastAsia="en-US" w:bidi="ar-SA"/>
      </w:rPr>
    </w:lvl>
    <w:lvl w:ilvl="5">
      <w:start w:val="0"/>
      <w:numFmt w:val="bullet"/>
      <w:lvlText w:val="•"/>
      <w:lvlJc w:val="left"/>
      <w:pPr>
        <w:ind w:left="5888" w:hanging="567"/>
      </w:pPr>
      <w:rPr>
        <w:rFonts w:hint="default"/>
        <w:lang w:val="id" w:eastAsia="en-US" w:bidi="ar-SA"/>
      </w:rPr>
    </w:lvl>
    <w:lvl w:ilvl="6">
      <w:start w:val="0"/>
      <w:numFmt w:val="bullet"/>
      <w:lvlText w:val="•"/>
      <w:lvlJc w:val="left"/>
      <w:pPr>
        <w:ind w:left="6554" w:hanging="567"/>
      </w:pPr>
      <w:rPr>
        <w:rFonts w:hint="default"/>
        <w:lang w:val="id" w:eastAsia="en-US" w:bidi="ar-SA"/>
      </w:rPr>
    </w:lvl>
    <w:lvl w:ilvl="7">
      <w:start w:val="0"/>
      <w:numFmt w:val="bullet"/>
      <w:lvlText w:val="•"/>
      <w:lvlJc w:val="left"/>
      <w:pPr>
        <w:ind w:left="7219" w:hanging="567"/>
      </w:pPr>
      <w:rPr>
        <w:rFonts w:hint="default"/>
        <w:lang w:val="id" w:eastAsia="en-US" w:bidi="ar-SA"/>
      </w:rPr>
    </w:lvl>
    <w:lvl w:ilvl="8">
      <w:start w:val="0"/>
      <w:numFmt w:val="bullet"/>
      <w:lvlText w:val="•"/>
      <w:lvlJc w:val="left"/>
      <w:pPr>
        <w:ind w:left="7885" w:hanging="567"/>
      </w:pPr>
      <w:rPr>
        <w:rFonts w:hint="default"/>
        <w:lang w:val="id" w:eastAsia="en-US" w:bidi="ar-SA"/>
      </w:rPr>
    </w:lvl>
  </w:abstractNum>
  <w:abstractNum w:abstractNumId="9">
    <w:multiLevelType w:val="hybridMultilevel"/>
    <w:lvl w:ilvl="0">
      <w:start w:val="1"/>
      <w:numFmt w:val="lowerLetter"/>
      <w:lvlText w:val="%1."/>
      <w:lvlJc w:val="left"/>
      <w:pPr>
        <w:ind w:left="1987" w:hanging="341"/>
        <w:jc w:val="left"/>
      </w:pPr>
      <w:rPr>
        <w:rFonts w:hint="default" w:ascii="Segoe UI" w:hAnsi="Segoe UI" w:eastAsia="Segoe UI" w:cs="Segoe UI"/>
        <w:b w:val="0"/>
        <w:bCs w:val="0"/>
        <w:i w:val="0"/>
        <w:iCs w:val="0"/>
        <w:spacing w:val="-3"/>
        <w:w w:val="100"/>
        <w:sz w:val="24"/>
        <w:szCs w:val="24"/>
        <w:lang w:val="id" w:eastAsia="en-US" w:bidi="ar-SA"/>
      </w:rPr>
    </w:lvl>
    <w:lvl w:ilvl="1">
      <w:start w:val="0"/>
      <w:numFmt w:val="bullet"/>
      <w:lvlText w:val="•"/>
      <w:lvlJc w:val="left"/>
      <w:pPr>
        <w:ind w:left="2703" w:hanging="341"/>
      </w:pPr>
      <w:rPr>
        <w:rFonts w:hint="default"/>
        <w:lang w:val="id" w:eastAsia="en-US" w:bidi="ar-SA"/>
      </w:rPr>
    </w:lvl>
    <w:lvl w:ilvl="2">
      <w:start w:val="0"/>
      <w:numFmt w:val="bullet"/>
      <w:lvlText w:val="•"/>
      <w:lvlJc w:val="left"/>
      <w:pPr>
        <w:ind w:left="3427" w:hanging="341"/>
      </w:pPr>
      <w:rPr>
        <w:rFonts w:hint="default"/>
        <w:lang w:val="id" w:eastAsia="en-US" w:bidi="ar-SA"/>
      </w:rPr>
    </w:lvl>
    <w:lvl w:ilvl="3">
      <w:start w:val="0"/>
      <w:numFmt w:val="bullet"/>
      <w:lvlText w:val="•"/>
      <w:lvlJc w:val="left"/>
      <w:pPr>
        <w:ind w:left="4151" w:hanging="341"/>
      </w:pPr>
      <w:rPr>
        <w:rFonts w:hint="default"/>
        <w:lang w:val="id" w:eastAsia="en-US" w:bidi="ar-SA"/>
      </w:rPr>
    </w:lvl>
    <w:lvl w:ilvl="4">
      <w:start w:val="0"/>
      <w:numFmt w:val="bullet"/>
      <w:lvlText w:val="•"/>
      <w:lvlJc w:val="left"/>
      <w:pPr>
        <w:ind w:left="4874" w:hanging="341"/>
      </w:pPr>
      <w:rPr>
        <w:rFonts w:hint="default"/>
        <w:lang w:val="id" w:eastAsia="en-US" w:bidi="ar-SA"/>
      </w:rPr>
    </w:lvl>
    <w:lvl w:ilvl="5">
      <w:start w:val="0"/>
      <w:numFmt w:val="bullet"/>
      <w:lvlText w:val="•"/>
      <w:lvlJc w:val="left"/>
      <w:pPr>
        <w:ind w:left="5598" w:hanging="341"/>
      </w:pPr>
      <w:rPr>
        <w:rFonts w:hint="default"/>
        <w:lang w:val="id" w:eastAsia="en-US" w:bidi="ar-SA"/>
      </w:rPr>
    </w:lvl>
    <w:lvl w:ilvl="6">
      <w:start w:val="0"/>
      <w:numFmt w:val="bullet"/>
      <w:lvlText w:val="•"/>
      <w:lvlJc w:val="left"/>
      <w:pPr>
        <w:ind w:left="6322" w:hanging="341"/>
      </w:pPr>
      <w:rPr>
        <w:rFonts w:hint="default"/>
        <w:lang w:val="id" w:eastAsia="en-US" w:bidi="ar-SA"/>
      </w:rPr>
    </w:lvl>
    <w:lvl w:ilvl="7">
      <w:start w:val="0"/>
      <w:numFmt w:val="bullet"/>
      <w:lvlText w:val="•"/>
      <w:lvlJc w:val="left"/>
      <w:pPr>
        <w:ind w:left="7045" w:hanging="341"/>
      </w:pPr>
      <w:rPr>
        <w:rFonts w:hint="default"/>
        <w:lang w:val="id" w:eastAsia="en-US" w:bidi="ar-SA"/>
      </w:rPr>
    </w:lvl>
    <w:lvl w:ilvl="8">
      <w:start w:val="0"/>
      <w:numFmt w:val="bullet"/>
      <w:lvlText w:val="•"/>
      <w:lvlJc w:val="left"/>
      <w:pPr>
        <w:ind w:left="7769" w:hanging="341"/>
      </w:pPr>
      <w:rPr>
        <w:rFonts w:hint="default"/>
        <w:lang w:val="id" w:eastAsia="en-US" w:bidi="ar-SA"/>
      </w:rPr>
    </w:lvl>
  </w:abstractNum>
  <w:abstractNum w:abstractNumId="8">
    <w:multiLevelType w:val="hybridMultilevel"/>
    <w:lvl w:ilvl="0">
      <w:start w:val="1"/>
      <w:numFmt w:val="lowerLetter"/>
      <w:lvlText w:val="%1."/>
      <w:lvlJc w:val="left"/>
      <w:pPr>
        <w:ind w:left="1968" w:hanging="341"/>
        <w:jc w:val="left"/>
      </w:pPr>
      <w:rPr>
        <w:rFonts w:hint="default" w:ascii="Segoe UI" w:hAnsi="Segoe UI" w:eastAsia="Segoe UI" w:cs="Segoe UI"/>
        <w:b w:val="0"/>
        <w:bCs w:val="0"/>
        <w:i w:val="0"/>
        <w:iCs w:val="0"/>
        <w:spacing w:val="-3"/>
        <w:w w:val="100"/>
        <w:sz w:val="24"/>
        <w:szCs w:val="24"/>
        <w:lang w:val="id" w:eastAsia="en-US" w:bidi="ar-SA"/>
      </w:rPr>
    </w:lvl>
    <w:lvl w:ilvl="1">
      <w:start w:val="0"/>
      <w:numFmt w:val="bullet"/>
      <w:lvlText w:val="•"/>
      <w:lvlJc w:val="left"/>
      <w:pPr>
        <w:ind w:left="2685" w:hanging="341"/>
      </w:pPr>
      <w:rPr>
        <w:rFonts w:hint="default"/>
        <w:lang w:val="id" w:eastAsia="en-US" w:bidi="ar-SA"/>
      </w:rPr>
    </w:lvl>
    <w:lvl w:ilvl="2">
      <w:start w:val="0"/>
      <w:numFmt w:val="bullet"/>
      <w:lvlText w:val="•"/>
      <w:lvlJc w:val="left"/>
      <w:pPr>
        <w:ind w:left="3411" w:hanging="341"/>
      </w:pPr>
      <w:rPr>
        <w:rFonts w:hint="default"/>
        <w:lang w:val="id" w:eastAsia="en-US" w:bidi="ar-SA"/>
      </w:rPr>
    </w:lvl>
    <w:lvl w:ilvl="3">
      <w:start w:val="0"/>
      <w:numFmt w:val="bullet"/>
      <w:lvlText w:val="•"/>
      <w:lvlJc w:val="left"/>
      <w:pPr>
        <w:ind w:left="4137" w:hanging="341"/>
      </w:pPr>
      <w:rPr>
        <w:rFonts w:hint="default"/>
        <w:lang w:val="id" w:eastAsia="en-US" w:bidi="ar-SA"/>
      </w:rPr>
    </w:lvl>
    <w:lvl w:ilvl="4">
      <w:start w:val="0"/>
      <w:numFmt w:val="bullet"/>
      <w:lvlText w:val="•"/>
      <w:lvlJc w:val="left"/>
      <w:pPr>
        <w:ind w:left="4862" w:hanging="341"/>
      </w:pPr>
      <w:rPr>
        <w:rFonts w:hint="default"/>
        <w:lang w:val="id" w:eastAsia="en-US" w:bidi="ar-SA"/>
      </w:rPr>
    </w:lvl>
    <w:lvl w:ilvl="5">
      <w:start w:val="0"/>
      <w:numFmt w:val="bullet"/>
      <w:lvlText w:val="•"/>
      <w:lvlJc w:val="left"/>
      <w:pPr>
        <w:ind w:left="5588" w:hanging="341"/>
      </w:pPr>
      <w:rPr>
        <w:rFonts w:hint="default"/>
        <w:lang w:val="id" w:eastAsia="en-US" w:bidi="ar-SA"/>
      </w:rPr>
    </w:lvl>
    <w:lvl w:ilvl="6">
      <w:start w:val="0"/>
      <w:numFmt w:val="bullet"/>
      <w:lvlText w:val="•"/>
      <w:lvlJc w:val="left"/>
      <w:pPr>
        <w:ind w:left="6314" w:hanging="341"/>
      </w:pPr>
      <w:rPr>
        <w:rFonts w:hint="default"/>
        <w:lang w:val="id" w:eastAsia="en-US" w:bidi="ar-SA"/>
      </w:rPr>
    </w:lvl>
    <w:lvl w:ilvl="7">
      <w:start w:val="0"/>
      <w:numFmt w:val="bullet"/>
      <w:lvlText w:val="•"/>
      <w:lvlJc w:val="left"/>
      <w:pPr>
        <w:ind w:left="7039" w:hanging="341"/>
      </w:pPr>
      <w:rPr>
        <w:rFonts w:hint="default"/>
        <w:lang w:val="id" w:eastAsia="en-US" w:bidi="ar-SA"/>
      </w:rPr>
    </w:lvl>
    <w:lvl w:ilvl="8">
      <w:start w:val="0"/>
      <w:numFmt w:val="bullet"/>
      <w:lvlText w:val="•"/>
      <w:lvlJc w:val="left"/>
      <w:pPr>
        <w:ind w:left="7765" w:hanging="341"/>
      </w:pPr>
      <w:rPr>
        <w:rFonts w:hint="default"/>
        <w:lang w:val="id" w:eastAsia="en-US" w:bidi="ar-SA"/>
      </w:rPr>
    </w:lvl>
  </w:abstractNum>
  <w:abstractNum w:abstractNumId="7">
    <w:multiLevelType w:val="hybridMultilevel"/>
    <w:lvl w:ilvl="0">
      <w:start w:val="1"/>
      <w:numFmt w:val="decimal"/>
      <w:lvlText w:val="%1."/>
      <w:lvlJc w:val="left"/>
      <w:pPr>
        <w:ind w:left="993" w:hanging="428"/>
        <w:jc w:val="left"/>
      </w:pPr>
      <w:rPr>
        <w:rFonts w:hint="default" w:ascii="Segoe UI" w:hAnsi="Segoe UI" w:eastAsia="Segoe UI" w:cs="Segoe UI"/>
        <w:b w:val="0"/>
        <w:bCs w:val="0"/>
        <w:i w:val="0"/>
        <w:iCs w:val="0"/>
        <w:spacing w:val="0"/>
        <w:w w:val="100"/>
        <w:sz w:val="24"/>
        <w:szCs w:val="24"/>
        <w:lang w:val="id" w:eastAsia="en-US" w:bidi="ar-SA"/>
      </w:rPr>
    </w:lvl>
    <w:lvl w:ilvl="1">
      <w:start w:val="0"/>
      <w:numFmt w:val="bullet"/>
      <w:lvlText w:val="•"/>
      <w:lvlJc w:val="left"/>
      <w:pPr>
        <w:ind w:left="1821" w:hanging="428"/>
      </w:pPr>
      <w:rPr>
        <w:rFonts w:hint="default"/>
        <w:lang w:val="id" w:eastAsia="en-US" w:bidi="ar-SA"/>
      </w:rPr>
    </w:lvl>
    <w:lvl w:ilvl="2">
      <w:start w:val="0"/>
      <w:numFmt w:val="bullet"/>
      <w:lvlText w:val="•"/>
      <w:lvlJc w:val="left"/>
      <w:pPr>
        <w:ind w:left="2643" w:hanging="428"/>
      </w:pPr>
      <w:rPr>
        <w:rFonts w:hint="default"/>
        <w:lang w:val="id" w:eastAsia="en-US" w:bidi="ar-SA"/>
      </w:rPr>
    </w:lvl>
    <w:lvl w:ilvl="3">
      <w:start w:val="0"/>
      <w:numFmt w:val="bullet"/>
      <w:lvlText w:val="•"/>
      <w:lvlJc w:val="left"/>
      <w:pPr>
        <w:ind w:left="3465" w:hanging="428"/>
      </w:pPr>
      <w:rPr>
        <w:rFonts w:hint="default"/>
        <w:lang w:val="id" w:eastAsia="en-US" w:bidi="ar-SA"/>
      </w:rPr>
    </w:lvl>
    <w:lvl w:ilvl="4">
      <w:start w:val="0"/>
      <w:numFmt w:val="bullet"/>
      <w:lvlText w:val="•"/>
      <w:lvlJc w:val="left"/>
      <w:pPr>
        <w:ind w:left="4286" w:hanging="428"/>
      </w:pPr>
      <w:rPr>
        <w:rFonts w:hint="default"/>
        <w:lang w:val="id" w:eastAsia="en-US" w:bidi="ar-SA"/>
      </w:rPr>
    </w:lvl>
    <w:lvl w:ilvl="5">
      <w:start w:val="0"/>
      <w:numFmt w:val="bullet"/>
      <w:lvlText w:val="•"/>
      <w:lvlJc w:val="left"/>
      <w:pPr>
        <w:ind w:left="5108" w:hanging="428"/>
      </w:pPr>
      <w:rPr>
        <w:rFonts w:hint="default"/>
        <w:lang w:val="id" w:eastAsia="en-US" w:bidi="ar-SA"/>
      </w:rPr>
    </w:lvl>
    <w:lvl w:ilvl="6">
      <w:start w:val="0"/>
      <w:numFmt w:val="bullet"/>
      <w:lvlText w:val="•"/>
      <w:lvlJc w:val="left"/>
      <w:pPr>
        <w:ind w:left="5930" w:hanging="428"/>
      </w:pPr>
      <w:rPr>
        <w:rFonts w:hint="default"/>
        <w:lang w:val="id" w:eastAsia="en-US" w:bidi="ar-SA"/>
      </w:rPr>
    </w:lvl>
    <w:lvl w:ilvl="7">
      <w:start w:val="0"/>
      <w:numFmt w:val="bullet"/>
      <w:lvlText w:val="•"/>
      <w:lvlJc w:val="left"/>
      <w:pPr>
        <w:ind w:left="6751" w:hanging="428"/>
      </w:pPr>
      <w:rPr>
        <w:rFonts w:hint="default"/>
        <w:lang w:val="id" w:eastAsia="en-US" w:bidi="ar-SA"/>
      </w:rPr>
    </w:lvl>
    <w:lvl w:ilvl="8">
      <w:start w:val="0"/>
      <w:numFmt w:val="bullet"/>
      <w:lvlText w:val="•"/>
      <w:lvlJc w:val="left"/>
      <w:pPr>
        <w:ind w:left="7573" w:hanging="428"/>
      </w:pPr>
      <w:rPr>
        <w:rFonts w:hint="default"/>
        <w:lang w:val="id" w:eastAsia="en-US" w:bidi="ar-SA"/>
      </w:rPr>
    </w:lvl>
  </w:abstractNum>
  <w:abstractNum w:abstractNumId="6">
    <w:multiLevelType w:val="hybridMultilevel"/>
    <w:lvl w:ilvl="0">
      <w:start w:val="1"/>
      <w:numFmt w:val="decimal"/>
      <w:lvlText w:val="%1"/>
      <w:lvlJc w:val="left"/>
      <w:pPr>
        <w:ind w:left="1041" w:hanging="408"/>
        <w:jc w:val="left"/>
      </w:pPr>
      <w:rPr>
        <w:rFonts w:hint="default"/>
        <w:lang w:val="id" w:eastAsia="en-US" w:bidi="ar-SA"/>
      </w:rPr>
    </w:lvl>
    <w:lvl w:ilvl="1">
      <w:start w:val="1"/>
      <w:numFmt w:val="decimal"/>
      <w:lvlText w:val="%1.%2"/>
      <w:lvlJc w:val="left"/>
      <w:pPr>
        <w:ind w:left="1041" w:hanging="408"/>
        <w:jc w:val="left"/>
      </w:pPr>
      <w:rPr>
        <w:rFonts w:hint="default" w:ascii="Segoe UI" w:hAnsi="Segoe UI" w:eastAsia="Segoe UI" w:cs="Segoe UI"/>
        <w:b/>
        <w:bCs/>
        <w:i w:val="0"/>
        <w:iCs w:val="0"/>
        <w:spacing w:val="-3"/>
        <w:w w:val="100"/>
        <w:sz w:val="24"/>
        <w:szCs w:val="24"/>
        <w:lang w:val="id" w:eastAsia="en-US" w:bidi="ar-SA"/>
      </w:rPr>
    </w:lvl>
    <w:lvl w:ilvl="2">
      <w:start w:val="1"/>
      <w:numFmt w:val="decimal"/>
      <w:lvlText w:val="%3."/>
      <w:lvlJc w:val="left"/>
      <w:pPr>
        <w:ind w:left="1421" w:hanging="361"/>
        <w:jc w:val="left"/>
      </w:pPr>
      <w:rPr>
        <w:rFonts w:hint="default" w:ascii="Segoe UI" w:hAnsi="Segoe UI" w:eastAsia="Segoe UI" w:cs="Segoe UI"/>
        <w:b w:val="0"/>
        <w:bCs w:val="0"/>
        <w:i w:val="0"/>
        <w:iCs w:val="0"/>
        <w:spacing w:val="0"/>
        <w:w w:val="100"/>
        <w:sz w:val="24"/>
        <w:szCs w:val="24"/>
        <w:lang w:val="id" w:eastAsia="en-US" w:bidi="ar-SA"/>
      </w:rPr>
    </w:lvl>
    <w:lvl w:ilvl="3">
      <w:start w:val="1"/>
      <w:numFmt w:val="decimal"/>
      <w:lvlText w:val="%3.%4"/>
      <w:lvlJc w:val="left"/>
      <w:pPr>
        <w:ind w:left="1041" w:hanging="408"/>
        <w:jc w:val="left"/>
      </w:pPr>
      <w:rPr>
        <w:rFonts w:hint="default" w:ascii="Segoe UI" w:hAnsi="Segoe UI" w:eastAsia="Segoe UI" w:cs="Segoe UI"/>
        <w:b/>
        <w:bCs/>
        <w:i w:val="0"/>
        <w:iCs w:val="0"/>
        <w:spacing w:val="-3"/>
        <w:w w:val="100"/>
        <w:sz w:val="24"/>
        <w:szCs w:val="24"/>
        <w:lang w:val="id" w:eastAsia="en-US" w:bidi="ar-SA"/>
      </w:rPr>
    </w:lvl>
    <w:lvl w:ilvl="4">
      <w:start w:val="1"/>
      <w:numFmt w:val="decimal"/>
      <w:lvlText w:val="%3.%4.%5"/>
      <w:lvlJc w:val="left"/>
      <w:pPr>
        <w:ind w:left="1527" w:hanging="610"/>
        <w:jc w:val="left"/>
      </w:pPr>
      <w:rPr>
        <w:rFonts w:hint="default" w:ascii="Segoe UI" w:hAnsi="Segoe UI" w:eastAsia="Segoe UI" w:cs="Segoe UI"/>
        <w:b/>
        <w:bCs/>
        <w:i w:val="0"/>
        <w:iCs w:val="0"/>
        <w:spacing w:val="-3"/>
        <w:w w:val="100"/>
        <w:sz w:val="24"/>
        <w:szCs w:val="24"/>
        <w:lang w:val="id" w:eastAsia="en-US" w:bidi="ar-SA"/>
      </w:rPr>
    </w:lvl>
    <w:lvl w:ilvl="5">
      <w:start w:val="0"/>
      <w:numFmt w:val="bullet"/>
      <w:lvlText w:val="•"/>
      <w:lvlJc w:val="left"/>
      <w:pPr>
        <w:ind w:left="3861" w:hanging="610"/>
      </w:pPr>
      <w:rPr>
        <w:rFonts w:hint="default"/>
        <w:lang w:val="id" w:eastAsia="en-US" w:bidi="ar-SA"/>
      </w:rPr>
    </w:lvl>
    <w:lvl w:ilvl="6">
      <w:start w:val="0"/>
      <w:numFmt w:val="bullet"/>
      <w:lvlText w:val="•"/>
      <w:lvlJc w:val="left"/>
      <w:pPr>
        <w:ind w:left="4932" w:hanging="610"/>
      </w:pPr>
      <w:rPr>
        <w:rFonts w:hint="default"/>
        <w:lang w:val="id" w:eastAsia="en-US" w:bidi="ar-SA"/>
      </w:rPr>
    </w:lvl>
    <w:lvl w:ilvl="7">
      <w:start w:val="0"/>
      <w:numFmt w:val="bullet"/>
      <w:lvlText w:val="•"/>
      <w:lvlJc w:val="left"/>
      <w:pPr>
        <w:ind w:left="6003" w:hanging="610"/>
      </w:pPr>
      <w:rPr>
        <w:rFonts w:hint="default"/>
        <w:lang w:val="id" w:eastAsia="en-US" w:bidi="ar-SA"/>
      </w:rPr>
    </w:lvl>
    <w:lvl w:ilvl="8">
      <w:start w:val="0"/>
      <w:numFmt w:val="bullet"/>
      <w:lvlText w:val="•"/>
      <w:lvlJc w:val="left"/>
      <w:pPr>
        <w:ind w:left="7074" w:hanging="610"/>
      </w:pPr>
      <w:rPr>
        <w:rFonts w:hint="default"/>
        <w:lang w:val="id" w:eastAsia="en-US" w:bidi="ar-SA"/>
      </w:rPr>
    </w:lvl>
  </w:abstractNum>
  <w:abstractNum w:abstractNumId="5">
    <w:multiLevelType w:val="hybridMultilevel"/>
    <w:lvl w:ilvl="0">
      <w:start w:val="6"/>
      <w:numFmt w:val="decimal"/>
      <w:lvlText w:val="%1"/>
      <w:lvlJc w:val="left"/>
      <w:pPr>
        <w:ind w:left="1104" w:hanging="317"/>
        <w:jc w:val="left"/>
      </w:pPr>
      <w:rPr>
        <w:rFonts w:hint="default"/>
        <w:lang w:val="id" w:eastAsia="en-US" w:bidi="ar-SA"/>
      </w:rPr>
    </w:lvl>
    <w:lvl w:ilvl="1">
      <w:start w:val="1"/>
      <w:numFmt w:val="decimal"/>
      <w:lvlText w:val="%1.%2"/>
      <w:lvlJc w:val="left"/>
      <w:pPr>
        <w:ind w:left="1104" w:hanging="317"/>
        <w:jc w:val="left"/>
      </w:pPr>
      <w:rPr>
        <w:rFonts w:hint="default" w:ascii="Lucida Sans Unicode" w:hAnsi="Lucida Sans Unicode" w:eastAsia="Lucida Sans Unicode" w:cs="Lucida Sans Unicode"/>
        <w:b w:val="0"/>
        <w:bCs w:val="0"/>
        <w:i w:val="0"/>
        <w:iCs w:val="0"/>
        <w:spacing w:val="-1"/>
        <w:w w:val="48"/>
        <w:sz w:val="22"/>
        <w:szCs w:val="22"/>
        <w:lang w:val="id" w:eastAsia="en-US" w:bidi="ar-SA"/>
      </w:rPr>
    </w:lvl>
    <w:lvl w:ilvl="2">
      <w:start w:val="0"/>
      <w:numFmt w:val="bullet"/>
      <w:lvlText w:val="•"/>
      <w:lvlJc w:val="left"/>
      <w:pPr>
        <w:ind w:left="2723" w:hanging="317"/>
      </w:pPr>
      <w:rPr>
        <w:rFonts w:hint="default"/>
        <w:lang w:val="id" w:eastAsia="en-US" w:bidi="ar-SA"/>
      </w:rPr>
    </w:lvl>
    <w:lvl w:ilvl="3">
      <w:start w:val="0"/>
      <w:numFmt w:val="bullet"/>
      <w:lvlText w:val="•"/>
      <w:lvlJc w:val="left"/>
      <w:pPr>
        <w:ind w:left="3535" w:hanging="317"/>
      </w:pPr>
      <w:rPr>
        <w:rFonts w:hint="default"/>
        <w:lang w:val="id" w:eastAsia="en-US" w:bidi="ar-SA"/>
      </w:rPr>
    </w:lvl>
    <w:lvl w:ilvl="4">
      <w:start w:val="0"/>
      <w:numFmt w:val="bullet"/>
      <w:lvlText w:val="•"/>
      <w:lvlJc w:val="left"/>
      <w:pPr>
        <w:ind w:left="4346" w:hanging="317"/>
      </w:pPr>
      <w:rPr>
        <w:rFonts w:hint="default"/>
        <w:lang w:val="id" w:eastAsia="en-US" w:bidi="ar-SA"/>
      </w:rPr>
    </w:lvl>
    <w:lvl w:ilvl="5">
      <w:start w:val="0"/>
      <w:numFmt w:val="bullet"/>
      <w:lvlText w:val="•"/>
      <w:lvlJc w:val="left"/>
      <w:pPr>
        <w:ind w:left="5158" w:hanging="317"/>
      </w:pPr>
      <w:rPr>
        <w:rFonts w:hint="default"/>
        <w:lang w:val="id" w:eastAsia="en-US" w:bidi="ar-SA"/>
      </w:rPr>
    </w:lvl>
    <w:lvl w:ilvl="6">
      <w:start w:val="0"/>
      <w:numFmt w:val="bullet"/>
      <w:lvlText w:val="•"/>
      <w:lvlJc w:val="left"/>
      <w:pPr>
        <w:ind w:left="5970" w:hanging="317"/>
      </w:pPr>
      <w:rPr>
        <w:rFonts w:hint="default"/>
        <w:lang w:val="id" w:eastAsia="en-US" w:bidi="ar-SA"/>
      </w:rPr>
    </w:lvl>
    <w:lvl w:ilvl="7">
      <w:start w:val="0"/>
      <w:numFmt w:val="bullet"/>
      <w:lvlText w:val="•"/>
      <w:lvlJc w:val="left"/>
      <w:pPr>
        <w:ind w:left="6781" w:hanging="317"/>
      </w:pPr>
      <w:rPr>
        <w:rFonts w:hint="default"/>
        <w:lang w:val="id" w:eastAsia="en-US" w:bidi="ar-SA"/>
      </w:rPr>
    </w:lvl>
    <w:lvl w:ilvl="8">
      <w:start w:val="0"/>
      <w:numFmt w:val="bullet"/>
      <w:lvlText w:val="•"/>
      <w:lvlJc w:val="left"/>
      <w:pPr>
        <w:ind w:left="7593" w:hanging="317"/>
      </w:pPr>
      <w:rPr>
        <w:rFonts w:hint="default"/>
        <w:lang w:val="id" w:eastAsia="en-US" w:bidi="ar-SA"/>
      </w:rPr>
    </w:lvl>
  </w:abstractNum>
  <w:abstractNum w:abstractNumId="4">
    <w:multiLevelType w:val="hybridMultilevel"/>
    <w:lvl w:ilvl="0">
      <w:start w:val="5"/>
      <w:numFmt w:val="decimal"/>
      <w:lvlText w:val="%1"/>
      <w:lvlJc w:val="left"/>
      <w:pPr>
        <w:ind w:left="1099" w:hanging="312"/>
        <w:jc w:val="left"/>
      </w:pPr>
      <w:rPr>
        <w:rFonts w:hint="default"/>
        <w:lang w:val="id" w:eastAsia="en-US" w:bidi="ar-SA"/>
      </w:rPr>
    </w:lvl>
    <w:lvl w:ilvl="1">
      <w:start w:val="1"/>
      <w:numFmt w:val="decimal"/>
      <w:lvlText w:val="%1.%2"/>
      <w:lvlJc w:val="left"/>
      <w:pPr>
        <w:ind w:left="1099" w:hanging="312"/>
        <w:jc w:val="left"/>
      </w:pPr>
      <w:rPr>
        <w:rFonts w:hint="default" w:ascii="Lucida Sans Unicode" w:hAnsi="Lucida Sans Unicode" w:eastAsia="Lucida Sans Unicode" w:cs="Lucida Sans Unicode"/>
        <w:b w:val="0"/>
        <w:bCs w:val="0"/>
        <w:i w:val="0"/>
        <w:iCs w:val="0"/>
        <w:spacing w:val="0"/>
        <w:w w:val="69"/>
        <w:sz w:val="22"/>
        <w:szCs w:val="22"/>
        <w:lang w:val="id" w:eastAsia="en-US" w:bidi="ar-SA"/>
      </w:rPr>
    </w:lvl>
    <w:lvl w:ilvl="2">
      <w:start w:val="1"/>
      <w:numFmt w:val="decimal"/>
      <w:lvlText w:val="%1.%2.%3"/>
      <w:lvlJc w:val="left"/>
      <w:pPr>
        <w:ind w:left="1397" w:hanging="428"/>
        <w:jc w:val="left"/>
      </w:pPr>
      <w:rPr>
        <w:rFonts w:hint="default" w:ascii="Lucida Sans Unicode" w:hAnsi="Lucida Sans Unicode" w:eastAsia="Lucida Sans Unicode" w:cs="Lucida Sans Unicode"/>
        <w:b w:val="0"/>
        <w:bCs w:val="0"/>
        <w:i w:val="0"/>
        <w:iCs w:val="0"/>
        <w:spacing w:val="-1"/>
        <w:w w:val="65"/>
        <w:sz w:val="22"/>
        <w:szCs w:val="22"/>
        <w:lang w:val="id" w:eastAsia="en-US" w:bidi="ar-SA"/>
      </w:rPr>
    </w:lvl>
    <w:lvl w:ilvl="3">
      <w:start w:val="0"/>
      <w:numFmt w:val="bullet"/>
      <w:lvlText w:val="•"/>
      <w:lvlJc w:val="left"/>
      <w:pPr>
        <w:ind w:left="2429" w:hanging="428"/>
      </w:pPr>
      <w:rPr>
        <w:rFonts w:hint="default"/>
        <w:lang w:val="id" w:eastAsia="en-US" w:bidi="ar-SA"/>
      </w:rPr>
    </w:lvl>
    <w:lvl w:ilvl="4">
      <w:start w:val="0"/>
      <w:numFmt w:val="bullet"/>
      <w:lvlText w:val="•"/>
      <w:lvlJc w:val="left"/>
      <w:pPr>
        <w:ind w:left="3399" w:hanging="428"/>
      </w:pPr>
      <w:rPr>
        <w:rFonts w:hint="default"/>
        <w:lang w:val="id" w:eastAsia="en-US" w:bidi="ar-SA"/>
      </w:rPr>
    </w:lvl>
    <w:lvl w:ilvl="5">
      <w:start w:val="0"/>
      <w:numFmt w:val="bullet"/>
      <w:lvlText w:val="•"/>
      <w:lvlJc w:val="left"/>
      <w:pPr>
        <w:ind w:left="4368" w:hanging="428"/>
      </w:pPr>
      <w:rPr>
        <w:rFonts w:hint="default"/>
        <w:lang w:val="id" w:eastAsia="en-US" w:bidi="ar-SA"/>
      </w:rPr>
    </w:lvl>
    <w:lvl w:ilvl="6">
      <w:start w:val="0"/>
      <w:numFmt w:val="bullet"/>
      <w:lvlText w:val="•"/>
      <w:lvlJc w:val="left"/>
      <w:pPr>
        <w:ind w:left="5338" w:hanging="428"/>
      </w:pPr>
      <w:rPr>
        <w:rFonts w:hint="default"/>
        <w:lang w:val="id" w:eastAsia="en-US" w:bidi="ar-SA"/>
      </w:rPr>
    </w:lvl>
    <w:lvl w:ilvl="7">
      <w:start w:val="0"/>
      <w:numFmt w:val="bullet"/>
      <w:lvlText w:val="•"/>
      <w:lvlJc w:val="left"/>
      <w:pPr>
        <w:ind w:left="6308" w:hanging="428"/>
      </w:pPr>
      <w:rPr>
        <w:rFonts w:hint="default"/>
        <w:lang w:val="id" w:eastAsia="en-US" w:bidi="ar-SA"/>
      </w:rPr>
    </w:lvl>
    <w:lvl w:ilvl="8">
      <w:start w:val="0"/>
      <w:numFmt w:val="bullet"/>
      <w:lvlText w:val="•"/>
      <w:lvlJc w:val="left"/>
      <w:pPr>
        <w:ind w:left="7277" w:hanging="428"/>
      </w:pPr>
      <w:rPr>
        <w:rFonts w:hint="default"/>
        <w:lang w:val="id" w:eastAsia="en-US" w:bidi="ar-SA"/>
      </w:rPr>
    </w:lvl>
  </w:abstractNum>
  <w:abstractNum w:abstractNumId="3">
    <w:multiLevelType w:val="hybridMultilevel"/>
    <w:lvl w:ilvl="0">
      <w:start w:val="4"/>
      <w:numFmt w:val="decimal"/>
      <w:lvlText w:val="%1"/>
      <w:lvlJc w:val="left"/>
      <w:pPr>
        <w:ind w:left="1104" w:hanging="317"/>
        <w:jc w:val="left"/>
      </w:pPr>
      <w:rPr>
        <w:rFonts w:hint="default"/>
        <w:lang w:val="id" w:eastAsia="en-US" w:bidi="ar-SA"/>
      </w:rPr>
    </w:lvl>
    <w:lvl w:ilvl="1">
      <w:start w:val="1"/>
      <w:numFmt w:val="decimal"/>
      <w:lvlText w:val="%1.%2"/>
      <w:lvlJc w:val="left"/>
      <w:pPr>
        <w:ind w:left="1104" w:hanging="317"/>
        <w:jc w:val="left"/>
      </w:pPr>
      <w:rPr>
        <w:rFonts w:hint="default" w:ascii="Lucida Sans Unicode" w:hAnsi="Lucida Sans Unicode" w:eastAsia="Lucida Sans Unicode" w:cs="Lucida Sans Unicode"/>
        <w:b w:val="0"/>
        <w:bCs w:val="0"/>
        <w:i w:val="0"/>
        <w:iCs w:val="0"/>
        <w:spacing w:val="0"/>
        <w:w w:val="69"/>
        <w:sz w:val="22"/>
        <w:szCs w:val="22"/>
        <w:lang w:val="id" w:eastAsia="en-US" w:bidi="ar-SA"/>
      </w:rPr>
    </w:lvl>
    <w:lvl w:ilvl="2">
      <w:start w:val="0"/>
      <w:numFmt w:val="bullet"/>
      <w:lvlText w:val="•"/>
      <w:lvlJc w:val="left"/>
      <w:pPr>
        <w:ind w:left="2723" w:hanging="317"/>
      </w:pPr>
      <w:rPr>
        <w:rFonts w:hint="default"/>
        <w:lang w:val="id" w:eastAsia="en-US" w:bidi="ar-SA"/>
      </w:rPr>
    </w:lvl>
    <w:lvl w:ilvl="3">
      <w:start w:val="0"/>
      <w:numFmt w:val="bullet"/>
      <w:lvlText w:val="•"/>
      <w:lvlJc w:val="left"/>
      <w:pPr>
        <w:ind w:left="3535" w:hanging="317"/>
      </w:pPr>
      <w:rPr>
        <w:rFonts w:hint="default"/>
        <w:lang w:val="id" w:eastAsia="en-US" w:bidi="ar-SA"/>
      </w:rPr>
    </w:lvl>
    <w:lvl w:ilvl="4">
      <w:start w:val="0"/>
      <w:numFmt w:val="bullet"/>
      <w:lvlText w:val="•"/>
      <w:lvlJc w:val="left"/>
      <w:pPr>
        <w:ind w:left="4346" w:hanging="317"/>
      </w:pPr>
      <w:rPr>
        <w:rFonts w:hint="default"/>
        <w:lang w:val="id" w:eastAsia="en-US" w:bidi="ar-SA"/>
      </w:rPr>
    </w:lvl>
    <w:lvl w:ilvl="5">
      <w:start w:val="0"/>
      <w:numFmt w:val="bullet"/>
      <w:lvlText w:val="•"/>
      <w:lvlJc w:val="left"/>
      <w:pPr>
        <w:ind w:left="5158" w:hanging="317"/>
      </w:pPr>
      <w:rPr>
        <w:rFonts w:hint="default"/>
        <w:lang w:val="id" w:eastAsia="en-US" w:bidi="ar-SA"/>
      </w:rPr>
    </w:lvl>
    <w:lvl w:ilvl="6">
      <w:start w:val="0"/>
      <w:numFmt w:val="bullet"/>
      <w:lvlText w:val="•"/>
      <w:lvlJc w:val="left"/>
      <w:pPr>
        <w:ind w:left="5970" w:hanging="317"/>
      </w:pPr>
      <w:rPr>
        <w:rFonts w:hint="default"/>
        <w:lang w:val="id" w:eastAsia="en-US" w:bidi="ar-SA"/>
      </w:rPr>
    </w:lvl>
    <w:lvl w:ilvl="7">
      <w:start w:val="0"/>
      <w:numFmt w:val="bullet"/>
      <w:lvlText w:val="•"/>
      <w:lvlJc w:val="left"/>
      <w:pPr>
        <w:ind w:left="6781" w:hanging="317"/>
      </w:pPr>
      <w:rPr>
        <w:rFonts w:hint="default"/>
        <w:lang w:val="id" w:eastAsia="en-US" w:bidi="ar-SA"/>
      </w:rPr>
    </w:lvl>
    <w:lvl w:ilvl="8">
      <w:start w:val="0"/>
      <w:numFmt w:val="bullet"/>
      <w:lvlText w:val="•"/>
      <w:lvlJc w:val="left"/>
      <w:pPr>
        <w:ind w:left="7593" w:hanging="317"/>
      </w:pPr>
      <w:rPr>
        <w:rFonts w:hint="default"/>
        <w:lang w:val="id" w:eastAsia="en-US" w:bidi="ar-SA"/>
      </w:rPr>
    </w:lvl>
  </w:abstractNum>
  <w:abstractNum w:abstractNumId="2">
    <w:multiLevelType w:val="hybridMultilevel"/>
    <w:lvl w:ilvl="0">
      <w:start w:val="3"/>
      <w:numFmt w:val="decimal"/>
      <w:lvlText w:val="%1"/>
      <w:lvlJc w:val="left"/>
      <w:pPr>
        <w:ind w:left="1094" w:hanging="308"/>
        <w:jc w:val="left"/>
      </w:pPr>
      <w:rPr>
        <w:rFonts w:hint="default"/>
        <w:lang w:val="id" w:eastAsia="en-US" w:bidi="ar-SA"/>
      </w:rPr>
    </w:lvl>
    <w:lvl w:ilvl="1">
      <w:start w:val="1"/>
      <w:numFmt w:val="decimal"/>
      <w:lvlText w:val="%1.%2"/>
      <w:lvlJc w:val="left"/>
      <w:pPr>
        <w:ind w:left="1094" w:hanging="308"/>
        <w:jc w:val="left"/>
      </w:pPr>
      <w:rPr>
        <w:rFonts w:hint="default" w:ascii="Lucida Sans Unicode" w:hAnsi="Lucida Sans Unicode" w:eastAsia="Lucida Sans Unicode" w:cs="Lucida Sans Unicode"/>
        <w:b w:val="0"/>
        <w:bCs w:val="0"/>
        <w:i w:val="0"/>
        <w:iCs w:val="0"/>
        <w:spacing w:val="-2"/>
        <w:w w:val="69"/>
        <w:sz w:val="22"/>
        <w:szCs w:val="22"/>
        <w:lang w:val="id" w:eastAsia="en-US" w:bidi="ar-SA"/>
      </w:rPr>
    </w:lvl>
    <w:lvl w:ilvl="2">
      <w:start w:val="0"/>
      <w:numFmt w:val="bullet"/>
      <w:lvlText w:val="•"/>
      <w:lvlJc w:val="left"/>
      <w:pPr>
        <w:ind w:left="2723" w:hanging="308"/>
      </w:pPr>
      <w:rPr>
        <w:rFonts w:hint="default"/>
        <w:lang w:val="id" w:eastAsia="en-US" w:bidi="ar-SA"/>
      </w:rPr>
    </w:lvl>
    <w:lvl w:ilvl="3">
      <w:start w:val="0"/>
      <w:numFmt w:val="bullet"/>
      <w:lvlText w:val="•"/>
      <w:lvlJc w:val="left"/>
      <w:pPr>
        <w:ind w:left="3535" w:hanging="308"/>
      </w:pPr>
      <w:rPr>
        <w:rFonts w:hint="default"/>
        <w:lang w:val="id" w:eastAsia="en-US" w:bidi="ar-SA"/>
      </w:rPr>
    </w:lvl>
    <w:lvl w:ilvl="4">
      <w:start w:val="0"/>
      <w:numFmt w:val="bullet"/>
      <w:lvlText w:val="•"/>
      <w:lvlJc w:val="left"/>
      <w:pPr>
        <w:ind w:left="4346" w:hanging="308"/>
      </w:pPr>
      <w:rPr>
        <w:rFonts w:hint="default"/>
        <w:lang w:val="id" w:eastAsia="en-US" w:bidi="ar-SA"/>
      </w:rPr>
    </w:lvl>
    <w:lvl w:ilvl="5">
      <w:start w:val="0"/>
      <w:numFmt w:val="bullet"/>
      <w:lvlText w:val="•"/>
      <w:lvlJc w:val="left"/>
      <w:pPr>
        <w:ind w:left="5158" w:hanging="308"/>
      </w:pPr>
      <w:rPr>
        <w:rFonts w:hint="default"/>
        <w:lang w:val="id" w:eastAsia="en-US" w:bidi="ar-SA"/>
      </w:rPr>
    </w:lvl>
    <w:lvl w:ilvl="6">
      <w:start w:val="0"/>
      <w:numFmt w:val="bullet"/>
      <w:lvlText w:val="•"/>
      <w:lvlJc w:val="left"/>
      <w:pPr>
        <w:ind w:left="5970" w:hanging="308"/>
      </w:pPr>
      <w:rPr>
        <w:rFonts w:hint="default"/>
        <w:lang w:val="id" w:eastAsia="en-US" w:bidi="ar-SA"/>
      </w:rPr>
    </w:lvl>
    <w:lvl w:ilvl="7">
      <w:start w:val="0"/>
      <w:numFmt w:val="bullet"/>
      <w:lvlText w:val="•"/>
      <w:lvlJc w:val="left"/>
      <w:pPr>
        <w:ind w:left="6781" w:hanging="308"/>
      </w:pPr>
      <w:rPr>
        <w:rFonts w:hint="default"/>
        <w:lang w:val="id" w:eastAsia="en-US" w:bidi="ar-SA"/>
      </w:rPr>
    </w:lvl>
    <w:lvl w:ilvl="8">
      <w:start w:val="0"/>
      <w:numFmt w:val="bullet"/>
      <w:lvlText w:val="•"/>
      <w:lvlJc w:val="left"/>
      <w:pPr>
        <w:ind w:left="7593" w:hanging="308"/>
      </w:pPr>
      <w:rPr>
        <w:rFonts w:hint="default"/>
        <w:lang w:val="id" w:eastAsia="en-US" w:bidi="ar-SA"/>
      </w:rPr>
    </w:lvl>
  </w:abstractNum>
  <w:abstractNum w:abstractNumId="1">
    <w:multiLevelType w:val="hybridMultilevel"/>
    <w:lvl w:ilvl="0">
      <w:start w:val="2"/>
      <w:numFmt w:val="decimal"/>
      <w:lvlText w:val="%1"/>
      <w:lvlJc w:val="left"/>
      <w:pPr>
        <w:ind w:left="1089" w:hanging="303"/>
        <w:jc w:val="left"/>
      </w:pPr>
      <w:rPr>
        <w:rFonts w:hint="default"/>
        <w:lang w:val="id" w:eastAsia="en-US" w:bidi="ar-SA"/>
      </w:rPr>
    </w:lvl>
    <w:lvl w:ilvl="1">
      <w:start w:val="1"/>
      <w:numFmt w:val="decimal"/>
      <w:lvlText w:val="%1.%2"/>
      <w:lvlJc w:val="left"/>
      <w:pPr>
        <w:ind w:left="1089" w:hanging="303"/>
        <w:jc w:val="left"/>
      </w:pPr>
      <w:rPr>
        <w:rFonts w:hint="default" w:ascii="Lucida Sans Unicode" w:hAnsi="Lucida Sans Unicode" w:eastAsia="Lucida Sans Unicode" w:cs="Lucida Sans Unicode"/>
        <w:b w:val="0"/>
        <w:bCs w:val="0"/>
        <w:i w:val="0"/>
        <w:iCs w:val="0"/>
        <w:spacing w:val="-1"/>
        <w:w w:val="48"/>
        <w:sz w:val="22"/>
        <w:szCs w:val="22"/>
        <w:lang w:val="id" w:eastAsia="en-US" w:bidi="ar-SA"/>
      </w:rPr>
    </w:lvl>
    <w:lvl w:ilvl="2">
      <w:start w:val="1"/>
      <w:numFmt w:val="decimal"/>
      <w:lvlText w:val="%1.%2.%3"/>
      <w:lvlJc w:val="left"/>
      <w:pPr>
        <w:ind w:left="1445" w:hanging="476"/>
        <w:jc w:val="left"/>
      </w:pPr>
      <w:rPr>
        <w:rFonts w:hint="default" w:ascii="Lucida Sans Unicode" w:hAnsi="Lucida Sans Unicode" w:eastAsia="Lucida Sans Unicode" w:cs="Lucida Sans Unicode"/>
        <w:b w:val="0"/>
        <w:bCs w:val="0"/>
        <w:i w:val="0"/>
        <w:iCs w:val="0"/>
        <w:spacing w:val="-2"/>
        <w:w w:val="69"/>
        <w:sz w:val="22"/>
        <w:szCs w:val="22"/>
        <w:lang w:val="id" w:eastAsia="en-US" w:bidi="ar-SA"/>
      </w:rPr>
    </w:lvl>
    <w:lvl w:ilvl="3">
      <w:start w:val="0"/>
      <w:numFmt w:val="bullet"/>
      <w:lvlText w:val="•"/>
      <w:lvlJc w:val="left"/>
      <w:pPr>
        <w:ind w:left="3168" w:hanging="476"/>
      </w:pPr>
      <w:rPr>
        <w:rFonts w:hint="default"/>
        <w:lang w:val="id" w:eastAsia="en-US" w:bidi="ar-SA"/>
      </w:rPr>
    </w:lvl>
    <w:lvl w:ilvl="4">
      <w:start w:val="0"/>
      <w:numFmt w:val="bullet"/>
      <w:lvlText w:val="•"/>
      <w:lvlJc w:val="left"/>
      <w:pPr>
        <w:ind w:left="4032" w:hanging="476"/>
      </w:pPr>
      <w:rPr>
        <w:rFonts w:hint="default"/>
        <w:lang w:val="id" w:eastAsia="en-US" w:bidi="ar-SA"/>
      </w:rPr>
    </w:lvl>
    <w:lvl w:ilvl="5">
      <w:start w:val="0"/>
      <w:numFmt w:val="bullet"/>
      <w:lvlText w:val="•"/>
      <w:lvlJc w:val="left"/>
      <w:pPr>
        <w:ind w:left="4896" w:hanging="476"/>
      </w:pPr>
      <w:rPr>
        <w:rFonts w:hint="default"/>
        <w:lang w:val="id" w:eastAsia="en-US" w:bidi="ar-SA"/>
      </w:rPr>
    </w:lvl>
    <w:lvl w:ilvl="6">
      <w:start w:val="0"/>
      <w:numFmt w:val="bullet"/>
      <w:lvlText w:val="•"/>
      <w:lvlJc w:val="left"/>
      <w:pPr>
        <w:ind w:left="5760" w:hanging="476"/>
      </w:pPr>
      <w:rPr>
        <w:rFonts w:hint="default"/>
        <w:lang w:val="id" w:eastAsia="en-US" w:bidi="ar-SA"/>
      </w:rPr>
    </w:lvl>
    <w:lvl w:ilvl="7">
      <w:start w:val="0"/>
      <w:numFmt w:val="bullet"/>
      <w:lvlText w:val="•"/>
      <w:lvlJc w:val="left"/>
      <w:pPr>
        <w:ind w:left="6624" w:hanging="476"/>
      </w:pPr>
      <w:rPr>
        <w:rFonts w:hint="default"/>
        <w:lang w:val="id" w:eastAsia="en-US" w:bidi="ar-SA"/>
      </w:rPr>
    </w:lvl>
    <w:lvl w:ilvl="8">
      <w:start w:val="0"/>
      <w:numFmt w:val="bullet"/>
      <w:lvlText w:val="•"/>
      <w:lvlJc w:val="left"/>
      <w:pPr>
        <w:ind w:left="7488" w:hanging="476"/>
      </w:pPr>
      <w:rPr>
        <w:rFonts w:hint="default"/>
        <w:lang w:val="id" w:eastAsia="en-US" w:bidi="ar-SA"/>
      </w:rPr>
    </w:lvl>
  </w:abstractNum>
  <w:abstractNum w:abstractNumId="0">
    <w:multiLevelType w:val="hybridMultilevel"/>
    <w:lvl w:ilvl="0">
      <w:start w:val="1"/>
      <w:numFmt w:val="decimal"/>
      <w:lvlText w:val="%1"/>
      <w:lvlJc w:val="left"/>
      <w:pPr>
        <w:ind w:left="1032" w:hanging="245"/>
        <w:jc w:val="left"/>
      </w:pPr>
      <w:rPr>
        <w:rFonts w:hint="default"/>
        <w:lang w:val="id" w:eastAsia="en-US" w:bidi="ar-SA"/>
      </w:rPr>
    </w:lvl>
    <w:lvl w:ilvl="1">
      <w:start w:val="1"/>
      <w:numFmt w:val="decimal"/>
      <w:lvlText w:val="%1.%2"/>
      <w:lvlJc w:val="left"/>
      <w:pPr>
        <w:ind w:left="1032" w:hanging="245"/>
        <w:jc w:val="left"/>
      </w:pPr>
      <w:rPr>
        <w:rFonts w:hint="default" w:ascii="Lucida Sans Unicode" w:hAnsi="Lucida Sans Unicode" w:eastAsia="Lucida Sans Unicode" w:cs="Lucida Sans Unicode"/>
        <w:b w:val="0"/>
        <w:bCs w:val="0"/>
        <w:i w:val="0"/>
        <w:iCs w:val="0"/>
        <w:spacing w:val="-1"/>
        <w:w w:val="52"/>
        <w:sz w:val="22"/>
        <w:szCs w:val="22"/>
        <w:lang w:val="id" w:eastAsia="en-US" w:bidi="ar-SA"/>
      </w:rPr>
    </w:lvl>
    <w:lvl w:ilvl="2">
      <w:start w:val="0"/>
      <w:numFmt w:val="bullet"/>
      <w:lvlText w:val="•"/>
      <w:lvlJc w:val="left"/>
      <w:pPr>
        <w:ind w:left="2675" w:hanging="245"/>
      </w:pPr>
      <w:rPr>
        <w:rFonts w:hint="default"/>
        <w:lang w:val="id" w:eastAsia="en-US" w:bidi="ar-SA"/>
      </w:rPr>
    </w:lvl>
    <w:lvl w:ilvl="3">
      <w:start w:val="0"/>
      <w:numFmt w:val="bullet"/>
      <w:lvlText w:val="•"/>
      <w:lvlJc w:val="left"/>
      <w:pPr>
        <w:ind w:left="3493" w:hanging="245"/>
      </w:pPr>
      <w:rPr>
        <w:rFonts w:hint="default"/>
        <w:lang w:val="id" w:eastAsia="en-US" w:bidi="ar-SA"/>
      </w:rPr>
    </w:lvl>
    <w:lvl w:ilvl="4">
      <w:start w:val="0"/>
      <w:numFmt w:val="bullet"/>
      <w:lvlText w:val="•"/>
      <w:lvlJc w:val="left"/>
      <w:pPr>
        <w:ind w:left="4310" w:hanging="245"/>
      </w:pPr>
      <w:rPr>
        <w:rFonts w:hint="default"/>
        <w:lang w:val="id" w:eastAsia="en-US" w:bidi="ar-SA"/>
      </w:rPr>
    </w:lvl>
    <w:lvl w:ilvl="5">
      <w:start w:val="0"/>
      <w:numFmt w:val="bullet"/>
      <w:lvlText w:val="•"/>
      <w:lvlJc w:val="left"/>
      <w:pPr>
        <w:ind w:left="5128" w:hanging="245"/>
      </w:pPr>
      <w:rPr>
        <w:rFonts w:hint="default"/>
        <w:lang w:val="id" w:eastAsia="en-US" w:bidi="ar-SA"/>
      </w:rPr>
    </w:lvl>
    <w:lvl w:ilvl="6">
      <w:start w:val="0"/>
      <w:numFmt w:val="bullet"/>
      <w:lvlText w:val="•"/>
      <w:lvlJc w:val="left"/>
      <w:pPr>
        <w:ind w:left="5946" w:hanging="245"/>
      </w:pPr>
      <w:rPr>
        <w:rFonts w:hint="default"/>
        <w:lang w:val="id" w:eastAsia="en-US" w:bidi="ar-SA"/>
      </w:rPr>
    </w:lvl>
    <w:lvl w:ilvl="7">
      <w:start w:val="0"/>
      <w:numFmt w:val="bullet"/>
      <w:lvlText w:val="•"/>
      <w:lvlJc w:val="left"/>
      <w:pPr>
        <w:ind w:left="6763" w:hanging="245"/>
      </w:pPr>
      <w:rPr>
        <w:rFonts w:hint="default"/>
        <w:lang w:val="id" w:eastAsia="en-US" w:bidi="ar-SA"/>
      </w:rPr>
    </w:lvl>
    <w:lvl w:ilvl="8">
      <w:start w:val="0"/>
      <w:numFmt w:val="bullet"/>
      <w:lvlText w:val="•"/>
      <w:lvlJc w:val="left"/>
      <w:pPr>
        <w:ind w:left="7581" w:hanging="245"/>
      </w:pPr>
      <w:rPr>
        <w:rFonts w:hint="default"/>
        <w:lang w:val="id" w:eastAsia="en-US" w:bidi="ar-SA"/>
      </w:rPr>
    </w:lvl>
  </w:abstractNum>
  <w:num w:numId="11">
    <w:abstractNumId w:val="10"/>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id" w:eastAsia="en-US" w:bidi="ar-SA"/>
    </w:rPr>
  </w:style>
  <w:style w:styleId="TOC1" w:type="paragraph">
    <w:name w:val="TOC 1"/>
    <w:basedOn w:val="Normal"/>
    <w:uiPriority w:val="1"/>
    <w:qFormat/>
    <w:pPr>
      <w:spacing w:before="142"/>
      <w:ind w:left="566"/>
    </w:pPr>
    <w:rPr>
      <w:rFonts w:ascii="Lucida Sans Unicode" w:hAnsi="Lucida Sans Unicode" w:eastAsia="Lucida Sans Unicode" w:cs="Lucida Sans Unicode"/>
      <w:sz w:val="22"/>
      <w:szCs w:val="22"/>
      <w:lang w:val="id" w:eastAsia="en-US" w:bidi="ar-SA"/>
    </w:rPr>
  </w:style>
  <w:style w:styleId="TOC2" w:type="paragraph">
    <w:name w:val="TOC 2"/>
    <w:basedOn w:val="Normal"/>
    <w:uiPriority w:val="1"/>
    <w:qFormat/>
    <w:pPr>
      <w:spacing w:before="142"/>
      <w:ind w:left="566"/>
    </w:pPr>
    <w:rPr>
      <w:rFonts w:ascii="Lucida Sans Unicode" w:hAnsi="Lucida Sans Unicode" w:eastAsia="Lucida Sans Unicode" w:cs="Lucida Sans Unicode"/>
      <w:sz w:val="22"/>
      <w:szCs w:val="22"/>
      <w:lang w:val="id" w:eastAsia="en-US" w:bidi="ar-SA"/>
    </w:rPr>
  </w:style>
  <w:style w:styleId="TOC3" w:type="paragraph">
    <w:name w:val="TOC 3"/>
    <w:basedOn w:val="Normal"/>
    <w:uiPriority w:val="1"/>
    <w:qFormat/>
    <w:pPr>
      <w:spacing w:before="142"/>
      <w:ind w:left="1102" w:hanging="373"/>
    </w:pPr>
    <w:rPr>
      <w:rFonts w:ascii="Lucida Sans Unicode" w:hAnsi="Lucida Sans Unicode" w:eastAsia="Lucida Sans Unicode" w:cs="Lucida Sans Unicode"/>
      <w:sz w:val="22"/>
      <w:szCs w:val="22"/>
      <w:lang w:val="id" w:eastAsia="en-US" w:bidi="ar-SA"/>
    </w:rPr>
  </w:style>
  <w:style w:styleId="TOC4" w:type="paragraph">
    <w:name w:val="TOC 4"/>
    <w:basedOn w:val="Normal"/>
    <w:uiPriority w:val="1"/>
    <w:qFormat/>
    <w:pPr>
      <w:spacing w:before="142"/>
      <w:ind w:left="1508" w:hanging="539"/>
    </w:pPr>
    <w:rPr>
      <w:rFonts w:ascii="Lucida Sans Unicode" w:hAnsi="Lucida Sans Unicode" w:eastAsia="Lucida Sans Unicode" w:cs="Lucida Sans Unicode"/>
      <w:sz w:val="22"/>
      <w:szCs w:val="22"/>
      <w:lang w:val="id" w:eastAsia="en-US" w:bidi="ar-SA"/>
    </w:rPr>
  </w:style>
  <w:style w:styleId="BodyText" w:type="paragraph">
    <w:name w:val="Body Text"/>
    <w:basedOn w:val="Normal"/>
    <w:uiPriority w:val="1"/>
    <w:qFormat/>
    <w:pPr>
      <w:jc w:val="both"/>
    </w:pPr>
    <w:rPr>
      <w:rFonts w:ascii="Segoe UI" w:hAnsi="Segoe UI" w:eastAsia="Segoe UI" w:cs="Segoe UI"/>
      <w:sz w:val="24"/>
      <w:szCs w:val="24"/>
      <w:lang w:val="id" w:eastAsia="en-US" w:bidi="ar-SA"/>
    </w:rPr>
  </w:style>
  <w:style w:styleId="Heading1" w:type="paragraph">
    <w:name w:val="Heading 1"/>
    <w:basedOn w:val="Normal"/>
    <w:uiPriority w:val="1"/>
    <w:qFormat/>
    <w:pPr>
      <w:spacing w:before="82"/>
      <w:ind w:left="1486" w:right="1628"/>
      <w:jc w:val="center"/>
      <w:outlineLvl w:val="1"/>
    </w:pPr>
    <w:rPr>
      <w:rFonts w:ascii="Tahoma" w:hAnsi="Tahoma" w:eastAsia="Tahoma" w:cs="Tahoma"/>
      <w:b/>
      <w:bCs/>
      <w:sz w:val="28"/>
      <w:szCs w:val="28"/>
      <w:lang w:val="id" w:eastAsia="en-US" w:bidi="ar-SA"/>
    </w:rPr>
  </w:style>
  <w:style w:styleId="Heading2" w:type="paragraph">
    <w:name w:val="Heading 2"/>
    <w:basedOn w:val="Normal"/>
    <w:uiPriority w:val="1"/>
    <w:qFormat/>
    <w:pPr>
      <w:ind w:left="1842" w:hanging="411"/>
      <w:jc w:val="both"/>
      <w:outlineLvl w:val="2"/>
    </w:pPr>
    <w:rPr>
      <w:rFonts w:ascii="Segoe UI" w:hAnsi="Segoe UI" w:eastAsia="Segoe UI" w:cs="Segoe UI"/>
      <w:b/>
      <w:bCs/>
      <w:sz w:val="24"/>
      <w:szCs w:val="24"/>
      <w:lang w:val="id" w:eastAsia="en-US" w:bidi="ar-SA"/>
    </w:rPr>
  </w:style>
  <w:style w:styleId="ListParagraph" w:type="paragraph">
    <w:name w:val="List Paragraph"/>
    <w:basedOn w:val="Normal"/>
    <w:uiPriority w:val="1"/>
    <w:qFormat/>
    <w:pPr>
      <w:ind w:left="993" w:hanging="360"/>
      <w:jc w:val="both"/>
    </w:pPr>
    <w:rPr>
      <w:rFonts w:ascii="Segoe UI" w:hAnsi="Segoe UI" w:eastAsia="Segoe UI" w:cs="Segoe UI"/>
      <w:lang w:val="id" w:eastAsia="en-US" w:bidi="ar-SA"/>
    </w:rPr>
  </w:style>
  <w:style w:styleId="TableParagraph" w:type="paragraph">
    <w:name w:val="Table Paragraph"/>
    <w:basedOn w:val="Normal"/>
    <w:uiPriority w:val="1"/>
    <w:qFormat/>
    <w:pPr/>
    <w:rPr>
      <w:rFonts w:ascii="Segoe UI" w:hAnsi="Segoe UI" w:eastAsia="Segoe UI" w:cs="Segoe UI"/>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hyperlink" Target="http://dx.doi.org/10.30641/kebijakan.2021.V15.149-164" TargetMode="External"/><Relationship Id="rId32" Type="http://schemas.openxmlformats.org/officeDocument/2006/relationships/hyperlink" Target="http://www.kaltimprov.go.id/" TargetMode="External"/><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Rahman</dc:creator>
  <dcterms:created xsi:type="dcterms:W3CDTF">2025-06-19T08:19:13Z</dcterms:created>
  <dcterms:modified xsi:type="dcterms:W3CDTF">2025-06-19T08:19:13Z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2025-06-19T00:00:00Z</vt:filetime>
  </property>
  <property fmtid="{D5CDD505-2E9C-101B-9397-08002B2CF9AE}" pid="3" name="Creator">
    <vt:lpwstr>Microsoft® Word 2019</vt:lpwstr>
  </property>
  <property fmtid="{D5CDD505-2E9C-101B-9397-08002B2CF9AE}" pid="4" name="LastSaved">
    <vt:filetime>2025-06-19T00:00:00Z</vt:filetime>
  </property>
  <property fmtid="{D5CDD505-2E9C-101B-9397-08002B2CF9AE}" pid="5" name="Producer">
    <vt:lpwstr>iLovePDF</vt:lpwstr>
  </property>
</Properties>
</file>